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795236" w14:textId="34C7324A" w:rsidR="00500949" w:rsidRPr="005D01A5" w:rsidRDefault="009E0861" w:rsidP="005B7D4E">
      <w:pPr>
        <w:pStyle w:val="Encabezado"/>
        <w:spacing w:line="360" w:lineRule="auto"/>
        <w:ind w:right="49"/>
        <w:jc w:val="both"/>
        <w:rPr>
          <w:rFonts w:ascii="Palatino Linotype" w:hAnsi="Palatino Linotype" w:cs="Tahoma"/>
          <w:b/>
        </w:rPr>
      </w:pPr>
      <w:r w:rsidRPr="005D01A5">
        <w:rPr>
          <w:rFonts w:ascii="Palatino Linotype" w:hAnsi="Palatino Linotype" w:cs="Tahoma"/>
          <w:b/>
        </w:rPr>
        <w:t>VOTO PARTICULAR QUE FORMULA EL COMISIONAD</w:t>
      </w:r>
      <w:r w:rsidR="00320769" w:rsidRPr="005D01A5">
        <w:rPr>
          <w:rFonts w:ascii="Palatino Linotype" w:hAnsi="Palatino Linotype" w:cs="Tahoma"/>
          <w:b/>
        </w:rPr>
        <w:t>O LUIS GUSTAVO PARRA NORIEGA, A</w:t>
      </w:r>
      <w:r w:rsidRPr="005D01A5">
        <w:rPr>
          <w:rFonts w:ascii="Palatino Linotype" w:hAnsi="Palatino Linotype" w:cs="Tahoma"/>
          <w:b/>
        </w:rPr>
        <w:t xml:space="preserve"> LA RESO</w:t>
      </w:r>
      <w:r w:rsidR="00D32C2C" w:rsidRPr="005D01A5">
        <w:rPr>
          <w:rFonts w:ascii="Palatino Linotype" w:hAnsi="Palatino Linotype" w:cs="Tahoma"/>
          <w:b/>
        </w:rPr>
        <w:t xml:space="preserve">LUCIÓN DEL RECURSO DE REVISIÓN </w:t>
      </w:r>
      <w:r w:rsidR="0056593F" w:rsidRPr="005D01A5">
        <w:rPr>
          <w:rFonts w:ascii="Palatino Linotype" w:hAnsi="Palatino Linotype" w:cs="Tahoma"/>
          <w:b/>
        </w:rPr>
        <w:t>0</w:t>
      </w:r>
      <w:r w:rsidR="001C40B1" w:rsidRPr="005D01A5">
        <w:rPr>
          <w:rFonts w:ascii="Palatino Linotype" w:hAnsi="Palatino Linotype" w:cs="Tahoma"/>
          <w:b/>
        </w:rPr>
        <w:t>0792</w:t>
      </w:r>
      <w:r w:rsidR="0056593F" w:rsidRPr="005D01A5">
        <w:rPr>
          <w:rFonts w:ascii="Palatino Linotype" w:hAnsi="Palatino Linotype" w:cs="Tahoma"/>
          <w:b/>
        </w:rPr>
        <w:t>/INFOEM/IP/RR/201</w:t>
      </w:r>
      <w:r w:rsidR="00BD5B0E" w:rsidRPr="005D01A5">
        <w:rPr>
          <w:rFonts w:ascii="Palatino Linotype" w:hAnsi="Palatino Linotype" w:cs="Tahoma"/>
          <w:b/>
        </w:rPr>
        <w:t>9</w:t>
      </w:r>
      <w:r w:rsidRPr="005D01A5">
        <w:rPr>
          <w:rFonts w:ascii="Palatino Linotype" w:hAnsi="Palatino Linotype" w:cs="Tahoma"/>
          <w:b/>
        </w:rPr>
        <w:t>, PROMOVIDO EN CONTRA DE</w:t>
      </w:r>
      <w:r w:rsidR="005B1BC6" w:rsidRPr="005D01A5">
        <w:rPr>
          <w:rFonts w:ascii="Palatino Linotype" w:hAnsi="Palatino Linotype" w:cs="Tahoma"/>
          <w:b/>
        </w:rPr>
        <w:t xml:space="preserve">L </w:t>
      </w:r>
      <w:r w:rsidR="005B7D4E" w:rsidRPr="005D01A5">
        <w:rPr>
          <w:rFonts w:ascii="Palatino Linotype" w:hAnsi="Palatino Linotype" w:cs="Tahoma"/>
          <w:b/>
        </w:rPr>
        <w:t>AYUNTAMIENTO DE A</w:t>
      </w:r>
      <w:r w:rsidR="005B7D4E" w:rsidRPr="005D01A5">
        <w:rPr>
          <w:rFonts w:ascii="Palatino Linotype" w:hAnsi="Palatino Linotype" w:cs="Tahoma"/>
          <w:b/>
          <w:bCs/>
          <w:lang w:val="es-MX"/>
        </w:rPr>
        <w:t>CAMBAY DE RU</w:t>
      </w:r>
      <w:r w:rsidR="00D45E10">
        <w:rPr>
          <w:rFonts w:ascii="Palatino Linotype" w:hAnsi="Palatino Linotype" w:cs="Tahoma"/>
          <w:b/>
          <w:bCs/>
          <w:lang w:val="es-MX"/>
        </w:rPr>
        <w:t>Í</w:t>
      </w:r>
      <w:r w:rsidR="005B7D4E" w:rsidRPr="005D01A5">
        <w:rPr>
          <w:rFonts w:ascii="Palatino Linotype" w:hAnsi="Palatino Linotype" w:cs="Tahoma"/>
          <w:b/>
          <w:bCs/>
          <w:lang w:val="es-MX"/>
        </w:rPr>
        <w:t>Z CASTAÑEDA</w:t>
      </w:r>
      <w:r w:rsidR="005B7D4E" w:rsidRPr="005D01A5">
        <w:rPr>
          <w:rFonts w:ascii="Palatino Linotype" w:hAnsi="Palatino Linotype" w:cs="Tahoma"/>
          <w:b/>
        </w:rPr>
        <w:t xml:space="preserve">. </w:t>
      </w:r>
    </w:p>
    <w:p w14:paraId="6F53BFE0" w14:textId="77777777" w:rsidR="006E1E37" w:rsidRPr="005D01A5" w:rsidRDefault="006E1E37" w:rsidP="005228CE">
      <w:pPr>
        <w:spacing w:after="0" w:line="360" w:lineRule="auto"/>
        <w:jc w:val="both"/>
        <w:rPr>
          <w:rFonts w:ascii="Palatino Linotype" w:hAnsi="Palatino Linotype" w:cs="Tahoma"/>
        </w:rPr>
      </w:pPr>
    </w:p>
    <w:p w14:paraId="7AF4E18B" w14:textId="1C96529A" w:rsidR="009E0861" w:rsidRPr="005D01A5" w:rsidRDefault="009E0861" w:rsidP="005228CE">
      <w:pPr>
        <w:spacing w:after="0" w:line="360" w:lineRule="auto"/>
        <w:jc w:val="both"/>
        <w:rPr>
          <w:rFonts w:ascii="Palatino Linotype" w:hAnsi="Palatino Linotype" w:cs="Tahoma"/>
        </w:rPr>
      </w:pPr>
      <w:r w:rsidRPr="005D01A5">
        <w:rPr>
          <w:rFonts w:ascii="Palatino Linotype" w:hAnsi="Palatino Linotype" w:cs="Tahoma"/>
        </w:rPr>
        <w:t xml:space="preserve">En términos de lo dispuesto por el artículo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31, segundo párrafo y 44 último párrafo, de los Lineamientos de las Sesiones del Pleno del Instituto de Transparencia, Acceso a la Información Pública y Protección de Datos Personales del Estado de México y Municipios, emito el presente </w:t>
      </w:r>
      <w:r w:rsidRPr="005D01A5">
        <w:rPr>
          <w:rFonts w:ascii="Palatino Linotype" w:hAnsi="Palatino Linotype" w:cs="Tahoma"/>
          <w:b/>
        </w:rPr>
        <w:t>Voto Particular</w:t>
      </w:r>
      <w:r w:rsidRPr="005D01A5">
        <w:rPr>
          <w:rFonts w:ascii="Palatino Linotype" w:hAnsi="Palatino Linotype" w:cs="Tahoma"/>
        </w:rPr>
        <w:t xml:space="preserve"> por no compartir en su totalidad las consideraciones que sustentan la</w:t>
      </w:r>
      <w:r w:rsidR="001C2D5C" w:rsidRPr="005D01A5">
        <w:rPr>
          <w:rFonts w:ascii="Palatino Linotype" w:hAnsi="Palatino Linotype" w:cs="Tahoma"/>
        </w:rPr>
        <w:t xml:space="preserve"> Resolución del </w:t>
      </w:r>
      <w:r w:rsidRPr="005D01A5">
        <w:rPr>
          <w:rFonts w:ascii="Palatino Linotype" w:hAnsi="Palatino Linotype" w:cs="Tahoma"/>
        </w:rPr>
        <w:t>Recurso</w:t>
      </w:r>
      <w:r w:rsidR="001C2D5C" w:rsidRPr="005D01A5">
        <w:rPr>
          <w:rFonts w:ascii="Palatino Linotype" w:hAnsi="Palatino Linotype" w:cs="Tahoma"/>
        </w:rPr>
        <w:t xml:space="preserve"> </w:t>
      </w:r>
      <w:r w:rsidRPr="005D01A5">
        <w:rPr>
          <w:rFonts w:ascii="Palatino Linotype" w:hAnsi="Palatino Linotype" w:cs="Tahoma"/>
        </w:rPr>
        <w:t xml:space="preserve">de Revisión </w:t>
      </w:r>
      <w:r w:rsidR="00D50D8F" w:rsidRPr="005D01A5">
        <w:rPr>
          <w:rFonts w:ascii="Palatino Linotype" w:hAnsi="Palatino Linotype" w:cs="Tahoma"/>
        </w:rPr>
        <w:t>0</w:t>
      </w:r>
      <w:r w:rsidR="005B7D4E" w:rsidRPr="005D01A5">
        <w:rPr>
          <w:rFonts w:ascii="Palatino Linotype" w:hAnsi="Palatino Linotype" w:cs="Tahoma"/>
        </w:rPr>
        <w:t>0792</w:t>
      </w:r>
      <w:r w:rsidR="00BD5B0E" w:rsidRPr="005D01A5">
        <w:rPr>
          <w:rFonts w:ascii="Palatino Linotype" w:hAnsi="Palatino Linotype" w:cs="Tahoma"/>
        </w:rPr>
        <w:t>/INFOEM/IP/RR/2019</w:t>
      </w:r>
      <w:r w:rsidR="0056593F" w:rsidRPr="005D01A5">
        <w:rPr>
          <w:rFonts w:ascii="Palatino Linotype" w:hAnsi="Palatino Linotype" w:cs="Tahoma"/>
        </w:rPr>
        <w:t>.</w:t>
      </w:r>
      <w:r w:rsidR="005B1BC6" w:rsidRPr="005D01A5">
        <w:rPr>
          <w:rFonts w:ascii="Palatino Linotype" w:hAnsi="Palatino Linotype" w:cs="Tahoma"/>
        </w:rPr>
        <w:t xml:space="preserve"> </w:t>
      </w:r>
    </w:p>
    <w:p w14:paraId="1F7D845D" w14:textId="77777777" w:rsidR="009E0861" w:rsidRPr="005D01A5" w:rsidRDefault="009E0861" w:rsidP="005228CE">
      <w:pPr>
        <w:spacing w:after="0" w:line="360" w:lineRule="auto"/>
        <w:jc w:val="both"/>
        <w:rPr>
          <w:rFonts w:ascii="Palatino Linotype" w:hAnsi="Palatino Linotype" w:cs="Tahoma"/>
        </w:rPr>
      </w:pPr>
    </w:p>
    <w:p w14:paraId="0A301529" w14:textId="232AD3F7" w:rsidR="00645497" w:rsidRPr="005D01A5" w:rsidRDefault="00082543" w:rsidP="005228CE">
      <w:pPr>
        <w:spacing w:after="0" w:line="360" w:lineRule="auto"/>
        <w:jc w:val="both"/>
        <w:rPr>
          <w:rFonts w:ascii="Palatino Linotype" w:hAnsi="Palatino Linotype" w:cs="Arial"/>
        </w:rPr>
      </w:pPr>
      <w:r w:rsidRPr="005D01A5">
        <w:rPr>
          <w:rFonts w:ascii="Palatino Linotype" w:hAnsi="Palatino Linotype" w:cs="Arial"/>
        </w:rPr>
        <w:t xml:space="preserve">Al respecto, </w:t>
      </w:r>
      <w:r w:rsidR="005B7D4E" w:rsidRPr="005D01A5">
        <w:rPr>
          <w:rFonts w:ascii="Palatino Linotype" w:hAnsi="Palatino Linotype" w:cs="Arial"/>
        </w:rPr>
        <w:t>coincido con el estudio realizado por la Ponencia Resolutora así como</w:t>
      </w:r>
      <w:r w:rsidRPr="005D01A5">
        <w:rPr>
          <w:rFonts w:ascii="Palatino Linotype" w:hAnsi="Palatino Linotype" w:cs="Arial"/>
        </w:rPr>
        <w:t xml:space="preserve"> el sentido de la </w:t>
      </w:r>
      <w:r w:rsidR="000C5469" w:rsidRPr="005D01A5">
        <w:rPr>
          <w:rFonts w:ascii="Palatino Linotype" w:hAnsi="Palatino Linotype" w:cs="Arial"/>
        </w:rPr>
        <w:t>R</w:t>
      </w:r>
      <w:r w:rsidRPr="005D01A5">
        <w:rPr>
          <w:rFonts w:ascii="Palatino Linotype" w:hAnsi="Palatino Linotype" w:cs="Arial"/>
        </w:rPr>
        <w:t xml:space="preserve">esolución, pero no </w:t>
      </w:r>
      <w:r w:rsidR="008202ED" w:rsidRPr="005D01A5">
        <w:rPr>
          <w:rFonts w:ascii="Palatino Linotype" w:hAnsi="Palatino Linotype" w:cs="Arial"/>
        </w:rPr>
        <w:t>comparto</w:t>
      </w:r>
      <w:r w:rsidRPr="005D01A5">
        <w:rPr>
          <w:rFonts w:ascii="Palatino Linotype" w:hAnsi="Palatino Linotype" w:cs="Arial"/>
        </w:rPr>
        <w:t xml:space="preserve"> la forma en que se </w:t>
      </w:r>
      <w:r w:rsidR="008202ED" w:rsidRPr="005D01A5">
        <w:rPr>
          <w:rFonts w:ascii="Palatino Linotype" w:hAnsi="Palatino Linotype" w:cs="Arial"/>
        </w:rPr>
        <w:t>ordena entregar la versión pública de la nómina, específicamente por cuanto hace a</w:t>
      </w:r>
      <w:r w:rsidRPr="005D01A5">
        <w:rPr>
          <w:rFonts w:ascii="Palatino Linotype" w:hAnsi="Palatino Linotype" w:cs="Arial"/>
        </w:rPr>
        <w:t xml:space="preserve"> los servidores públicos </w:t>
      </w:r>
      <w:r w:rsidR="008202ED" w:rsidRPr="005D01A5">
        <w:rPr>
          <w:rFonts w:ascii="Palatino Linotype" w:hAnsi="Palatino Linotype" w:cs="Arial"/>
        </w:rPr>
        <w:t>con actividades operativas que forman parte d</w:t>
      </w:r>
      <w:r w:rsidRPr="005D01A5">
        <w:rPr>
          <w:rFonts w:ascii="Palatino Linotype" w:hAnsi="Palatino Linotype" w:cs="Arial"/>
        </w:rPr>
        <w:t xml:space="preserve">el cuerpo de seguridad pública del Ayuntamiento de </w:t>
      </w:r>
      <w:r w:rsidR="00E045D0">
        <w:rPr>
          <w:rFonts w:ascii="Palatino Linotype" w:hAnsi="Palatino Linotype" w:cs="Arial"/>
          <w:lang w:val="es-MX"/>
        </w:rPr>
        <w:t>Acambay de Ruí</w:t>
      </w:r>
      <w:r w:rsidR="008202ED" w:rsidRPr="005D01A5">
        <w:rPr>
          <w:rFonts w:ascii="Palatino Linotype" w:hAnsi="Palatino Linotype" w:cs="Arial"/>
          <w:lang w:val="es-MX"/>
        </w:rPr>
        <w:t>z Castañeda</w:t>
      </w:r>
      <w:r w:rsidR="00E045D0">
        <w:rPr>
          <w:rFonts w:ascii="Palatino Linotype" w:hAnsi="Palatino Linotype" w:cs="Arial"/>
        </w:rPr>
        <w:t>;</w:t>
      </w:r>
      <w:r w:rsidRPr="005D01A5">
        <w:rPr>
          <w:rFonts w:ascii="Palatino Linotype" w:hAnsi="Palatino Linotype" w:cs="Arial"/>
        </w:rPr>
        <w:t xml:space="preserve"> lo anterior es así, en virtud de que si bien es cierto</w:t>
      </w:r>
      <w:r w:rsidR="000C5469" w:rsidRPr="005D01A5">
        <w:rPr>
          <w:rFonts w:ascii="Palatino Linotype" w:hAnsi="Palatino Linotype" w:cs="Arial"/>
        </w:rPr>
        <w:t>,</w:t>
      </w:r>
      <w:r w:rsidRPr="005D01A5">
        <w:rPr>
          <w:rFonts w:ascii="Palatino Linotype" w:hAnsi="Palatino Linotype" w:cs="Arial"/>
        </w:rPr>
        <w:t xml:space="preserve"> </w:t>
      </w:r>
      <w:r w:rsidR="008202ED" w:rsidRPr="005D01A5">
        <w:rPr>
          <w:rFonts w:ascii="Palatino Linotype" w:hAnsi="Palatino Linotype" w:cs="Arial"/>
        </w:rPr>
        <w:t xml:space="preserve">la </w:t>
      </w:r>
      <w:r w:rsidRPr="005D01A5">
        <w:rPr>
          <w:rFonts w:ascii="Palatino Linotype" w:hAnsi="Palatino Linotype" w:cs="Arial"/>
        </w:rPr>
        <w:t>Comisionad</w:t>
      </w:r>
      <w:r w:rsidR="008202ED" w:rsidRPr="005D01A5">
        <w:rPr>
          <w:rFonts w:ascii="Palatino Linotype" w:hAnsi="Palatino Linotype" w:cs="Arial"/>
        </w:rPr>
        <w:t>a</w:t>
      </w:r>
      <w:r w:rsidRPr="005D01A5">
        <w:rPr>
          <w:rFonts w:ascii="Palatino Linotype" w:hAnsi="Palatino Linotype" w:cs="Arial"/>
        </w:rPr>
        <w:t xml:space="preserve"> Ponente</w:t>
      </w:r>
      <w:r w:rsidR="000C5469" w:rsidRPr="005D01A5">
        <w:rPr>
          <w:rFonts w:ascii="Palatino Linotype" w:hAnsi="Palatino Linotype" w:cs="Arial"/>
        </w:rPr>
        <w:t xml:space="preserve"> dentro del estudio del Considerando </w:t>
      </w:r>
      <w:r w:rsidR="008202ED" w:rsidRPr="005D01A5">
        <w:rPr>
          <w:rFonts w:ascii="Palatino Linotype" w:hAnsi="Palatino Linotype" w:cs="Arial"/>
        </w:rPr>
        <w:t>Quin</w:t>
      </w:r>
      <w:r w:rsidR="00C36378" w:rsidRPr="005D01A5">
        <w:rPr>
          <w:rFonts w:ascii="Palatino Linotype" w:hAnsi="Palatino Linotype" w:cs="Arial"/>
        </w:rPr>
        <w:t>to</w:t>
      </w:r>
      <w:r w:rsidR="000C5469" w:rsidRPr="005D01A5">
        <w:rPr>
          <w:rFonts w:ascii="Palatino Linotype" w:hAnsi="Palatino Linotype" w:cs="Arial"/>
        </w:rPr>
        <w:t>,</w:t>
      </w:r>
      <w:r w:rsidRPr="005D01A5">
        <w:rPr>
          <w:rFonts w:ascii="Palatino Linotype" w:hAnsi="Palatino Linotype" w:cs="Arial"/>
        </w:rPr>
        <w:t xml:space="preserve"> </w:t>
      </w:r>
      <w:r w:rsidR="00DF6BC5" w:rsidRPr="005D01A5">
        <w:rPr>
          <w:rFonts w:ascii="Palatino Linotype" w:hAnsi="Palatino Linotype" w:cs="Arial"/>
        </w:rPr>
        <w:t>abordó el tema de la clasificación de información y elaboración de la versión pública del documento, no se pronunció respecto a los elementos operativos de seguridad pública, los cuales debido a las propias actividades que realizan deben estar considerados en un régimen de protección que permita evitar poner en riesgo su vida, seguridad o salud.</w:t>
      </w:r>
    </w:p>
    <w:p w14:paraId="4F6F5A23" w14:textId="3027143F" w:rsidR="00082543" w:rsidRPr="005D01A5" w:rsidRDefault="00DF6BC5" w:rsidP="005228CE">
      <w:pPr>
        <w:shd w:val="clear" w:color="auto" w:fill="FFFFFF"/>
        <w:spacing w:after="0" w:line="360" w:lineRule="auto"/>
        <w:jc w:val="both"/>
        <w:rPr>
          <w:rFonts w:ascii="Palatino Linotype" w:hAnsi="Palatino Linotype"/>
          <w:lang w:eastAsia="es-MX"/>
        </w:rPr>
      </w:pPr>
      <w:r w:rsidRPr="005D01A5">
        <w:rPr>
          <w:rFonts w:ascii="Palatino Linotype" w:hAnsi="Palatino Linotype"/>
          <w:lang w:eastAsia="es-MX"/>
        </w:rPr>
        <w:lastRenderedPageBreak/>
        <w:t>Así, c</w:t>
      </w:r>
      <w:r w:rsidR="00082543" w:rsidRPr="005D01A5">
        <w:rPr>
          <w:rFonts w:ascii="Palatino Linotype" w:hAnsi="Palatino Linotype"/>
          <w:lang w:eastAsia="es-MX"/>
        </w:rPr>
        <w:t xml:space="preserve">on la finalidad de evitar la identificación de personas al amparo de la protección a la vida, los miembros de las instituciones policiales se encuentran en un régimen de excepción </w:t>
      </w:r>
      <w:r w:rsidR="005E661B" w:rsidRPr="005D01A5">
        <w:rPr>
          <w:rFonts w:ascii="Palatino Linotype" w:hAnsi="Palatino Linotype"/>
          <w:lang w:eastAsia="es-MX"/>
        </w:rPr>
        <w:t>a diferencia de los</w:t>
      </w:r>
      <w:r w:rsidR="00082543" w:rsidRPr="005D01A5">
        <w:rPr>
          <w:rFonts w:ascii="Palatino Linotype" w:hAnsi="Palatino Linotype"/>
          <w:lang w:eastAsia="es-MX"/>
        </w:rPr>
        <w:t xml:space="preserve"> servidores públicos</w:t>
      </w:r>
      <w:r w:rsidR="005E661B" w:rsidRPr="005D01A5">
        <w:rPr>
          <w:rFonts w:ascii="Palatino Linotype" w:hAnsi="Palatino Linotype"/>
          <w:lang w:eastAsia="es-MX"/>
        </w:rPr>
        <w:t xml:space="preserve"> con funciones</w:t>
      </w:r>
      <w:r w:rsidR="00082543" w:rsidRPr="005D01A5">
        <w:rPr>
          <w:rFonts w:ascii="Palatino Linotype" w:hAnsi="Palatino Linotype"/>
          <w:lang w:eastAsia="es-MX"/>
        </w:rPr>
        <w:t xml:space="preserve"> administrativ</w:t>
      </w:r>
      <w:r w:rsidR="005E661B" w:rsidRPr="005D01A5">
        <w:rPr>
          <w:rFonts w:ascii="Palatino Linotype" w:hAnsi="Palatino Linotype"/>
          <w:lang w:eastAsia="es-MX"/>
        </w:rPr>
        <w:t>a</w:t>
      </w:r>
      <w:r w:rsidR="00082543" w:rsidRPr="005D01A5">
        <w:rPr>
          <w:rFonts w:ascii="Palatino Linotype" w:hAnsi="Palatino Linotype"/>
          <w:lang w:eastAsia="es-MX"/>
        </w:rPr>
        <w:t xml:space="preserve">s, esto </w:t>
      </w:r>
      <w:r w:rsidR="00F45049" w:rsidRPr="005D01A5">
        <w:rPr>
          <w:rFonts w:ascii="Palatino Linotype" w:hAnsi="Palatino Linotype"/>
          <w:lang w:eastAsia="es-MX"/>
        </w:rPr>
        <w:t>obedece a que el só</w:t>
      </w:r>
      <w:r w:rsidR="00082543" w:rsidRPr="005D01A5">
        <w:rPr>
          <w:rFonts w:ascii="Palatino Linotype" w:hAnsi="Palatino Linotype"/>
          <w:lang w:eastAsia="es-MX"/>
        </w:rPr>
        <w:t>lo ejercicio de las funciones que tienen encomendadas lleva implícito el riesgo a su integridad, toda vez que son responsables de procurar el orden, la estabilidad y la defensa de la sociedad a la que pertenecen</w:t>
      </w:r>
      <w:r w:rsidR="005E661B" w:rsidRPr="005D01A5">
        <w:rPr>
          <w:rFonts w:ascii="Palatino Linotype" w:hAnsi="Palatino Linotype"/>
          <w:lang w:eastAsia="es-MX"/>
        </w:rPr>
        <w:t>, lo que se traduce en la prevención de delitos y combate a los delincuentes</w:t>
      </w:r>
      <w:r w:rsidR="00082543" w:rsidRPr="005D01A5">
        <w:rPr>
          <w:rFonts w:ascii="Palatino Linotype" w:hAnsi="Palatino Linotype"/>
          <w:lang w:eastAsia="es-MX"/>
        </w:rPr>
        <w:t>.</w:t>
      </w:r>
    </w:p>
    <w:p w14:paraId="7E7E16C2" w14:textId="77777777" w:rsidR="005228CE" w:rsidRPr="005D01A5" w:rsidRDefault="005228CE" w:rsidP="005228CE">
      <w:pPr>
        <w:shd w:val="clear" w:color="auto" w:fill="FFFFFF"/>
        <w:spacing w:after="0" w:line="360" w:lineRule="auto"/>
        <w:jc w:val="both"/>
        <w:rPr>
          <w:lang w:eastAsia="es-MX"/>
        </w:rPr>
      </w:pPr>
    </w:p>
    <w:p w14:paraId="7DE1E1EE" w14:textId="0EB8487D" w:rsidR="00082543" w:rsidRPr="005D01A5" w:rsidRDefault="00082543" w:rsidP="005228CE">
      <w:pPr>
        <w:shd w:val="clear" w:color="auto" w:fill="FFFFFF"/>
        <w:spacing w:after="0" w:line="360" w:lineRule="auto"/>
        <w:jc w:val="both"/>
        <w:rPr>
          <w:rFonts w:ascii="Palatino Linotype" w:hAnsi="Palatino Linotype"/>
          <w:lang w:eastAsia="es-MX"/>
        </w:rPr>
      </w:pPr>
      <w:r w:rsidRPr="005D01A5">
        <w:rPr>
          <w:rFonts w:ascii="Palatino Linotype" w:hAnsi="Palatino Linotype"/>
          <w:lang w:eastAsia="es-MX"/>
        </w:rPr>
        <w:t>De ahí, que el Estado deba garantizar y respetar sus derechos humanos como servidores públicos y como personas sujetas de d</w:t>
      </w:r>
      <w:r w:rsidR="00F45049" w:rsidRPr="005D01A5">
        <w:rPr>
          <w:rFonts w:ascii="Palatino Linotype" w:hAnsi="Palatino Linotype"/>
          <w:lang w:eastAsia="es-MX"/>
        </w:rPr>
        <w:t xml:space="preserve">erechos y obligaciones, como </w:t>
      </w:r>
      <w:r w:rsidRPr="005D01A5">
        <w:rPr>
          <w:rFonts w:ascii="Palatino Linotype" w:hAnsi="Palatino Linotype"/>
          <w:lang w:eastAsia="es-MX"/>
        </w:rPr>
        <w:t xml:space="preserve">la protección </w:t>
      </w:r>
      <w:r w:rsidR="00E11DB1" w:rsidRPr="005D01A5">
        <w:rPr>
          <w:rFonts w:ascii="Palatino Linotype" w:hAnsi="Palatino Linotype"/>
          <w:lang w:eastAsia="es-MX"/>
        </w:rPr>
        <w:t>a su vida, salud y seguridad. Es de precisar que para ello,</w:t>
      </w:r>
      <w:r w:rsidRPr="005D01A5">
        <w:rPr>
          <w:rFonts w:ascii="Palatino Linotype" w:hAnsi="Palatino Linotype"/>
          <w:lang w:eastAsia="es-MX"/>
        </w:rPr>
        <w:t xml:space="preserve"> su nombre</w:t>
      </w:r>
      <w:r w:rsidR="00E11DB1" w:rsidRPr="005D01A5">
        <w:rPr>
          <w:rFonts w:ascii="Palatino Linotype" w:hAnsi="Palatino Linotype"/>
          <w:lang w:eastAsia="es-MX"/>
        </w:rPr>
        <w:t>,</w:t>
      </w:r>
      <w:r w:rsidRPr="005D01A5">
        <w:rPr>
          <w:rFonts w:ascii="Palatino Linotype" w:hAnsi="Palatino Linotype"/>
          <w:lang w:eastAsia="es-MX"/>
        </w:rPr>
        <w:t xml:space="preserve"> si bien pudiera tenerse como público ante la inminente evidencia de que</w:t>
      </w:r>
      <w:r w:rsidR="00E11DB1" w:rsidRPr="005D01A5">
        <w:rPr>
          <w:rFonts w:ascii="Palatino Linotype" w:hAnsi="Palatino Linotype"/>
          <w:lang w:eastAsia="es-MX"/>
        </w:rPr>
        <w:t xml:space="preserve"> </w:t>
      </w:r>
      <w:r w:rsidRPr="005D01A5">
        <w:rPr>
          <w:rFonts w:ascii="Palatino Linotype" w:hAnsi="Palatino Linotype"/>
          <w:lang w:eastAsia="es-MX"/>
        </w:rPr>
        <w:t>recibe</w:t>
      </w:r>
      <w:r w:rsidR="00E11DB1" w:rsidRPr="005D01A5">
        <w:rPr>
          <w:rFonts w:ascii="Palatino Linotype" w:hAnsi="Palatino Linotype"/>
          <w:lang w:eastAsia="es-MX"/>
        </w:rPr>
        <w:t>n</w:t>
      </w:r>
      <w:r w:rsidRPr="005D01A5">
        <w:rPr>
          <w:rFonts w:ascii="Palatino Linotype" w:hAnsi="Palatino Linotype"/>
          <w:lang w:eastAsia="es-MX"/>
        </w:rPr>
        <w:t xml:space="preserve"> recursos públicos por co</w:t>
      </w:r>
      <w:r w:rsidR="00001261" w:rsidRPr="005D01A5">
        <w:rPr>
          <w:rFonts w:ascii="Palatino Linotype" w:hAnsi="Palatino Linotype"/>
          <w:lang w:eastAsia="es-MX"/>
        </w:rPr>
        <w:t>ncepto de sueldo, también lo es</w:t>
      </w:r>
      <w:r w:rsidRPr="005D01A5">
        <w:rPr>
          <w:rFonts w:ascii="Palatino Linotype" w:hAnsi="Palatino Linotype"/>
          <w:lang w:eastAsia="es-MX"/>
        </w:rPr>
        <w:t xml:space="preserve"> que al pertenecer a una institución</w:t>
      </w:r>
      <w:r w:rsidR="00001261" w:rsidRPr="005D01A5">
        <w:rPr>
          <w:rFonts w:ascii="Palatino Linotype" w:hAnsi="Palatino Linotype"/>
          <w:lang w:eastAsia="es-MX"/>
        </w:rPr>
        <w:t xml:space="preserve"> policial</w:t>
      </w:r>
      <w:r w:rsidR="00683662" w:rsidRPr="005D01A5">
        <w:rPr>
          <w:rFonts w:ascii="Palatino Linotype" w:hAnsi="Palatino Linotype"/>
          <w:lang w:eastAsia="es-MX"/>
        </w:rPr>
        <w:t xml:space="preserve"> la difusión del mismo</w:t>
      </w:r>
      <w:r w:rsidRPr="005D01A5">
        <w:rPr>
          <w:rFonts w:ascii="Palatino Linotype" w:hAnsi="Palatino Linotype"/>
          <w:lang w:eastAsia="es-MX"/>
        </w:rPr>
        <w:t xml:space="preserve"> pone en riesgo su vida, integridad o seguridad.</w:t>
      </w:r>
    </w:p>
    <w:p w14:paraId="4D478E3D" w14:textId="77777777" w:rsidR="00E11DB1" w:rsidRPr="005D01A5" w:rsidRDefault="00E11DB1" w:rsidP="005228CE">
      <w:pPr>
        <w:shd w:val="clear" w:color="auto" w:fill="FFFFFF"/>
        <w:spacing w:after="0" w:line="360" w:lineRule="auto"/>
        <w:jc w:val="both"/>
        <w:rPr>
          <w:lang w:eastAsia="es-MX"/>
        </w:rPr>
      </w:pPr>
    </w:p>
    <w:p w14:paraId="2505F0C1" w14:textId="33AD9904" w:rsidR="00E472AD" w:rsidRPr="005D01A5" w:rsidRDefault="00082543" w:rsidP="005228CE">
      <w:pPr>
        <w:spacing w:after="0" w:line="360" w:lineRule="auto"/>
        <w:jc w:val="both"/>
        <w:rPr>
          <w:rFonts w:ascii="Palatino Linotype" w:eastAsia="MS Mincho" w:hAnsi="Palatino Linotype" w:cs="Arial"/>
          <w:lang w:val="es-ES_tradnl"/>
        </w:rPr>
      </w:pPr>
      <w:r w:rsidRPr="005D01A5">
        <w:rPr>
          <w:rFonts w:ascii="Palatino Linotype" w:hAnsi="Palatino Linotype" w:cs="Arial"/>
        </w:rPr>
        <w:t xml:space="preserve">Se afirma lo anterior, en virtud de que no debe perderse de vista que </w:t>
      </w:r>
      <w:r w:rsidRPr="005D01A5">
        <w:rPr>
          <w:rFonts w:ascii="Palatino Linotype" w:eastAsia="MS Mincho" w:hAnsi="Palatino Linotype" w:cs="Arial"/>
        </w:rPr>
        <w:t>existen funciones</w:t>
      </w:r>
      <w:r w:rsidR="00001261" w:rsidRPr="005D01A5">
        <w:rPr>
          <w:rFonts w:ascii="Palatino Linotype" w:eastAsia="MS Mincho" w:hAnsi="Palatino Linotype" w:cs="Arial"/>
        </w:rPr>
        <w:t xml:space="preserve"> a cargo de servidores públicos</w:t>
      </w:r>
      <w:r w:rsidRPr="005D01A5">
        <w:rPr>
          <w:rFonts w:ascii="Palatino Linotype" w:eastAsia="MS Mincho" w:hAnsi="Palatino Linotype" w:cs="Arial"/>
        </w:rPr>
        <w:t xml:space="preserve"> tendientes a garantizar de manera directa la seguridad pública, a través de acciones preventivas y correctivas encaminadas a combatir a la delincuencia en sus diferentes manifestaciones. </w:t>
      </w:r>
      <w:r w:rsidR="00001261" w:rsidRPr="005D01A5">
        <w:rPr>
          <w:rFonts w:ascii="Palatino Linotype" w:eastAsia="MS Mincho" w:hAnsi="Palatino Linotype" w:cs="Arial"/>
        </w:rPr>
        <w:t>En este sentido</w:t>
      </w:r>
      <w:r w:rsidRPr="005D01A5">
        <w:rPr>
          <w:rFonts w:ascii="Palatino Linotype" w:eastAsia="MS Mincho" w:hAnsi="Palatino Linotype" w:cs="Arial"/>
        </w:rPr>
        <w:t xml:space="preserve">, es pertinente señalar que en el </w:t>
      </w:r>
      <w:r w:rsidR="00F45049" w:rsidRPr="005D01A5">
        <w:rPr>
          <w:rFonts w:ascii="Palatino Linotype" w:eastAsia="MS Mincho" w:hAnsi="Palatino Linotype" w:cs="Arial"/>
        </w:rPr>
        <w:t>artículo 113, fracción I de la L</w:t>
      </w:r>
      <w:r w:rsidRPr="005D01A5">
        <w:rPr>
          <w:rFonts w:ascii="Palatino Linotype" w:eastAsia="MS Mincho" w:hAnsi="Palatino Linotype" w:cs="Arial"/>
        </w:rPr>
        <w:t>ey General de Transparencia</w:t>
      </w:r>
      <w:r w:rsidR="00F45049" w:rsidRPr="005D01A5">
        <w:rPr>
          <w:rFonts w:ascii="Palatino Linotype" w:eastAsia="MS Mincho" w:hAnsi="Palatino Linotype" w:cs="Arial"/>
        </w:rPr>
        <w:t xml:space="preserve"> y Acceso a la Información Pública </w:t>
      </w:r>
      <w:r w:rsidRPr="005D01A5">
        <w:rPr>
          <w:rFonts w:ascii="Palatino Linotype" w:eastAsia="MS Mincho" w:hAnsi="Palatino Linotype" w:cs="Arial"/>
        </w:rPr>
        <w:t xml:space="preserve">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el omitir proporcionar </w:t>
      </w:r>
      <w:r w:rsidRPr="005D01A5">
        <w:rPr>
          <w:rFonts w:ascii="Palatino Linotype" w:eastAsia="MS Mincho" w:hAnsi="Palatino Linotype" w:cs="Arial"/>
        </w:rPr>
        <w:lastRenderedPageBreak/>
        <w:t>los nombres de los servidores públicos que prestan servicios</w:t>
      </w:r>
      <w:r w:rsidR="00E472AD" w:rsidRPr="005D01A5">
        <w:rPr>
          <w:rFonts w:ascii="Palatino Linotype" w:eastAsia="MS Mincho" w:hAnsi="Palatino Linotype" w:cs="Arial"/>
        </w:rPr>
        <w:t xml:space="preserve"> operativos</w:t>
      </w:r>
      <w:r w:rsidRPr="005D01A5">
        <w:rPr>
          <w:rFonts w:ascii="Palatino Linotype" w:eastAsia="MS Mincho" w:hAnsi="Palatino Linotype" w:cs="Arial"/>
        </w:rPr>
        <w:t xml:space="preserve"> en áreas de seguridad nacional o pública, puede llegar a constituirse en un componente fundamental en el esfuerzo que realiza el Estado Mexicano para garantizar la seguridad del país en sus diferentes vertientes, toda vez que proporcionar la información solicitada por el </w:t>
      </w:r>
      <w:r w:rsidR="00E472AD" w:rsidRPr="005D01A5">
        <w:rPr>
          <w:rFonts w:ascii="Palatino Linotype" w:eastAsia="MS Mincho" w:hAnsi="Palatino Linotype" w:cs="Arial"/>
        </w:rPr>
        <w:t>R</w:t>
      </w:r>
      <w:r w:rsidRPr="005D01A5">
        <w:rPr>
          <w:rFonts w:ascii="Palatino Linotype" w:eastAsia="MS Mincho" w:hAnsi="Palatino Linotype" w:cs="Arial"/>
        </w:rPr>
        <w:t xml:space="preserve">ecurrente, permite que los servidores públicos adscritos a los cuerpos policiacos sean identificados o identificables, circunstancia que </w:t>
      </w:r>
      <w:r w:rsidRPr="005D01A5">
        <w:rPr>
          <w:rFonts w:ascii="Palatino Linotype" w:eastAsia="MS Mincho" w:hAnsi="Palatino Linotype" w:cs="Arial"/>
          <w:lang w:val="es-ES_tradnl"/>
        </w:rPr>
        <w:t>puede poner en riesgo la vida e integridad física de los integrantes de los cuerpos policiacos</w:t>
      </w:r>
      <w:r w:rsidR="00E472AD" w:rsidRPr="005D01A5">
        <w:rPr>
          <w:rFonts w:ascii="Palatino Linotype" w:eastAsia="MS Mincho" w:hAnsi="Palatino Linotype" w:cs="Arial"/>
          <w:lang w:val="es-ES_tradnl"/>
        </w:rPr>
        <w:t>.</w:t>
      </w:r>
    </w:p>
    <w:p w14:paraId="2C1CF55D" w14:textId="77777777" w:rsidR="00E472AD" w:rsidRPr="005D01A5" w:rsidRDefault="00E472AD" w:rsidP="005228CE">
      <w:pPr>
        <w:spacing w:after="0" w:line="360" w:lineRule="auto"/>
        <w:jc w:val="both"/>
        <w:rPr>
          <w:rFonts w:ascii="Palatino Linotype" w:eastAsia="MS Mincho" w:hAnsi="Palatino Linotype" w:cs="Arial"/>
          <w:lang w:val="es-ES_tradnl"/>
        </w:rPr>
      </w:pPr>
    </w:p>
    <w:p w14:paraId="5DA552E8" w14:textId="4C033251" w:rsidR="00082543" w:rsidRPr="005D01A5" w:rsidRDefault="00E472AD" w:rsidP="005228CE">
      <w:pPr>
        <w:spacing w:after="0" w:line="360" w:lineRule="auto"/>
        <w:jc w:val="both"/>
        <w:rPr>
          <w:rFonts w:ascii="Palatino Linotype" w:eastAsia="MS Mincho" w:hAnsi="Palatino Linotype" w:cs="Arial"/>
        </w:rPr>
      </w:pPr>
      <w:r w:rsidRPr="005D01A5">
        <w:rPr>
          <w:rFonts w:ascii="Palatino Linotype" w:eastAsia="MS Mincho" w:hAnsi="Palatino Linotype" w:cs="Arial"/>
          <w:lang w:val="es-ES_tradnl"/>
        </w:rPr>
        <w:t>A</w:t>
      </w:r>
      <w:r w:rsidR="00082543" w:rsidRPr="005D01A5">
        <w:rPr>
          <w:rFonts w:ascii="Palatino Linotype" w:eastAsia="MS Mincho" w:hAnsi="Palatino Linotype" w:cs="Arial"/>
          <w:lang w:val="es-ES_tradnl"/>
        </w:rPr>
        <w:t>l respecto</w:t>
      </w:r>
      <w:r w:rsidRPr="005D01A5">
        <w:rPr>
          <w:rFonts w:ascii="Palatino Linotype" w:eastAsia="MS Mincho" w:hAnsi="Palatino Linotype" w:cs="Arial"/>
          <w:lang w:val="es-ES_tradnl"/>
        </w:rPr>
        <w:t>,</w:t>
      </w:r>
      <w:r w:rsidR="00082543" w:rsidRPr="005D01A5">
        <w:rPr>
          <w:rFonts w:ascii="Palatino Linotype" w:eastAsia="MS Mincho" w:hAnsi="Palatino Linotype" w:cs="Arial"/>
          <w:lang w:val="es-ES_tradnl"/>
        </w:rPr>
        <w:t xml:space="preserve"> cabe hacer mención que el artículo 81 fracción III de la Ley de Seguridad del Estado de México, establece lo siguiente: </w:t>
      </w:r>
    </w:p>
    <w:p w14:paraId="2A6A7A68" w14:textId="77777777" w:rsidR="00082543" w:rsidRPr="005D01A5" w:rsidRDefault="00082543" w:rsidP="005228CE">
      <w:pPr>
        <w:spacing w:after="0" w:line="360" w:lineRule="auto"/>
        <w:ind w:left="851" w:right="851"/>
        <w:jc w:val="both"/>
        <w:rPr>
          <w:rFonts w:ascii="Palatino Linotype" w:eastAsia="MS Mincho" w:hAnsi="Palatino Linotype" w:cs="Arial"/>
          <w:i/>
          <w:lang w:val="es-ES_tradnl"/>
        </w:rPr>
      </w:pPr>
    </w:p>
    <w:p w14:paraId="51E69F61" w14:textId="77777777" w:rsidR="00082543" w:rsidRPr="005D01A5" w:rsidRDefault="00082543" w:rsidP="00683662">
      <w:pPr>
        <w:spacing w:after="0" w:line="360" w:lineRule="auto"/>
        <w:ind w:left="567" w:right="567"/>
        <w:jc w:val="both"/>
        <w:rPr>
          <w:rFonts w:ascii="Palatino Linotype" w:eastAsia="MS Mincho" w:hAnsi="Palatino Linotype" w:cs="Arial"/>
          <w:i/>
          <w:sz w:val="20"/>
          <w:lang w:val="es-ES_tradnl"/>
        </w:rPr>
      </w:pPr>
      <w:r w:rsidRPr="005D01A5">
        <w:rPr>
          <w:rFonts w:ascii="Palatino Linotype" w:eastAsia="MS Mincho" w:hAnsi="Palatino Linotype" w:cs="Arial"/>
          <w:i/>
          <w:sz w:val="20"/>
          <w:lang w:val="es-ES_tradnl"/>
        </w:rPr>
        <w:t>“</w:t>
      </w:r>
      <w:r w:rsidRPr="005D01A5">
        <w:rPr>
          <w:rFonts w:ascii="Palatino Linotype" w:eastAsia="MS Mincho" w:hAnsi="Palatino Linotype" w:cs="Arial"/>
          <w:b/>
          <w:i/>
          <w:sz w:val="20"/>
          <w:lang w:val="es-ES_tradnl"/>
        </w:rPr>
        <w:t>Artículo 81.-</w:t>
      </w:r>
      <w:r w:rsidRPr="005D01A5">
        <w:rPr>
          <w:rFonts w:ascii="Palatino Linotype" w:eastAsia="MS Mincho" w:hAnsi="Palatino Linotype" w:cs="Arial"/>
          <w:i/>
          <w:sz w:val="20"/>
          <w:lang w:val="es-ES_tradnl"/>
        </w:rPr>
        <w:t xml:space="preserve"> </w:t>
      </w:r>
      <w:r w:rsidRPr="005D01A5">
        <w:rPr>
          <w:rFonts w:ascii="Palatino Linotype" w:eastAsia="MS Mincho" w:hAnsi="Palatino Linotype" w:cs="Arial"/>
          <w:b/>
          <w:i/>
          <w:sz w:val="20"/>
          <w:lang w:val="es-ES_tradnl"/>
        </w:rPr>
        <w:t xml:space="preserve">Toda información para la seguridad pública generada o en poder de Instituciones de Seguridad Pública o de cualquier instancia del Sistema Estatal debe registrarse, clasificarse y tratarse de conformidad con las disposiciones aplicables. </w:t>
      </w:r>
      <w:r w:rsidRPr="005D01A5">
        <w:rPr>
          <w:rFonts w:ascii="Palatino Linotype" w:eastAsia="MS Mincho" w:hAnsi="Palatino Linotype" w:cs="Arial"/>
          <w:b/>
          <w:i/>
          <w:sz w:val="20"/>
          <w:u w:val="single"/>
          <w:lang w:val="es-ES_tradnl"/>
        </w:rPr>
        <w:t>No obstante lo anterior, esta información se considerará reservada</w:t>
      </w:r>
      <w:r w:rsidRPr="005D01A5">
        <w:rPr>
          <w:rFonts w:ascii="Palatino Linotype" w:eastAsia="MS Mincho" w:hAnsi="Palatino Linotype" w:cs="Arial"/>
          <w:i/>
          <w:sz w:val="20"/>
          <w:lang w:val="es-ES_tradnl"/>
        </w:rPr>
        <w:t xml:space="preserve"> en los casos siguientes:</w:t>
      </w:r>
    </w:p>
    <w:p w14:paraId="177D1D8A" w14:textId="77777777" w:rsidR="00082543" w:rsidRPr="005D01A5" w:rsidRDefault="00082543" w:rsidP="00683662">
      <w:pPr>
        <w:spacing w:after="0" w:line="360" w:lineRule="auto"/>
        <w:ind w:left="567" w:right="567"/>
        <w:jc w:val="both"/>
        <w:rPr>
          <w:rFonts w:ascii="Palatino Linotype" w:eastAsia="MS Mincho" w:hAnsi="Palatino Linotype" w:cs="Arial"/>
          <w:i/>
          <w:sz w:val="20"/>
          <w:lang w:val="es-ES_tradnl"/>
        </w:rPr>
      </w:pPr>
      <w:r w:rsidRPr="005D01A5">
        <w:rPr>
          <w:rFonts w:ascii="Palatino Linotype" w:eastAsia="MS Mincho" w:hAnsi="Palatino Linotype" w:cs="Arial"/>
          <w:i/>
          <w:sz w:val="20"/>
          <w:lang w:val="es-ES_tradnl"/>
        </w:rPr>
        <w:t>…</w:t>
      </w:r>
    </w:p>
    <w:p w14:paraId="35E2EDAE" w14:textId="77777777" w:rsidR="00082543" w:rsidRPr="005D01A5" w:rsidRDefault="00082543" w:rsidP="00683662">
      <w:pPr>
        <w:spacing w:after="0" w:line="360" w:lineRule="auto"/>
        <w:ind w:left="567" w:right="567"/>
        <w:jc w:val="both"/>
        <w:rPr>
          <w:rFonts w:ascii="Palatino Linotype" w:eastAsia="MS Mincho" w:hAnsi="Palatino Linotype" w:cs="Arial"/>
          <w:i/>
          <w:sz w:val="20"/>
          <w:lang w:val="es-ES_tradnl"/>
        </w:rPr>
      </w:pPr>
      <w:r w:rsidRPr="005D01A5">
        <w:rPr>
          <w:rFonts w:ascii="Palatino Linotype" w:eastAsia="MS Mincho" w:hAnsi="Palatino Linotype" w:cs="Arial"/>
          <w:b/>
          <w:i/>
          <w:sz w:val="20"/>
          <w:lang w:val="es-ES_tradnl"/>
        </w:rPr>
        <w:t>III.</w:t>
      </w:r>
      <w:r w:rsidRPr="005D01A5">
        <w:rPr>
          <w:rFonts w:ascii="Palatino Linotype" w:eastAsia="MS Mincho" w:hAnsi="Palatino Linotype" w:cs="Arial"/>
          <w:i/>
          <w:sz w:val="20"/>
          <w:lang w:val="es-ES_tradnl"/>
        </w:rPr>
        <w:t xml:space="preserve"> </w:t>
      </w:r>
      <w:r w:rsidRPr="005D01A5">
        <w:rPr>
          <w:rFonts w:ascii="Palatino Linotype" w:eastAsia="MS Mincho" w:hAnsi="Palatino Linotype" w:cs="Arial"/>
          <w:b/>
          <w:i/>
          <w:sz w:val="20"/>
          <w:u w:val="single"/>
          <w:lang w:val="es-ES_tradnl"/>
        </w:rPr>
        <w:t>La relativa a servidores públicos miembros de las instituciones de seguridad pública, cuya revelación pueda poner en riesgo su vida e integridad física con motivo de sus funciones;</w:t>
      </w:r>
      <w:r w:rsidRPr="005D01A5">
        <w:rPr>
          <w:rFonts w:ascii="Palatino Linotype" w:eastAsia="MS Mincho" w:hAnsi="Palatino Linotype" w:cs="Arial"/>
          <w:i/>
          <w:sz w:val="20"/>
          <w:lang w:val="es-ES_tradnl"/>
        </w:rPr>
        <w:t>”</w:t>
      </w:r>
    </w:p>
    <w:p w14:paraId="6BDEE2DF" w14:textId="5BBA9CD4" w:rsidR="00082543" w:rsidRPr="005D01A5" w:rsidRDefault="005228CE" w:rsidP="005D01A5">
      <w:pPr>
        <w:spacing w:after="0" w:line="360" w:lineRule="auto"/>
        <w:ind w:left="567" w:right="851"/>
        <w:jc w:val="both"/>
        <w:rPr>
          <w:rFonts w:ascii="Palatino Linotype" w:eastAsia="MS Mincho" w:hAnsi="Palatino Linotype" w:cs="Arial"/>
          <w:sz w:val="20"/>
          <w:lang w:val="es-ES_tradnl"/>
        </w:rPr>
      </w:pPr>
      <w:r w:rsidRPr="005D01A5">
        <w:rPr>
          <w:rFonts w:ascii="Palatino Linotype" w:eastAsia="MS Mincho" w:hAnsi="Palatino Linotype" w:cs="Arial"/>
          <w:sz w:val="20"/>
          <w:lang w:val="es-ES_tradnl"/>
        </w:rPr>
        <w:t>(</w:t>
      </w:r>
      <w:r w:rsidR="00082543" w:rsidRPr="005D01A5">
        <w:rPr>
          <w:rFonts w:ascii="Palatino Linotype" w:eastAsia="MS Mincho" w:hAnsi="Palatino Linotype" w:cs="Arial"/>
          <w:sz w:val="20"/>
          <w:lang w:val="es-ES_tradnl"/>
        </w:rPr>
        <w:t>Énfasis añadido</w:t>
      </w:r>
      <w:r w:rsidRPr="005D01A5">
        <w:rPr>
          <w:rFonts w:ascii="Palatino Linotype" w:eastAsia="MS Mincho" w:hAnsi="Palatino Linotype" w:cs="Arial"/>
          <w:sz w:val="20"/>
          <w:lang w:val="es-ES_tradnl"/>
        </w:rPr>
        <w:t>)</w:t>
      </w:r>
    </w:p>
    <w:p w14:paraId="1446B483" w14:textId="77777777" w:rsidR="001C7572" w:rsidRPr="005D01A5" w:rsidRDefault="001C7572" w:rsidP="005228CE">
      <w:pPr>
        <w:spacing w:after="0" w:line="360" w:lineRule="auto"/>
        <w:ind w:left="851" w:right="851"/>
        <w:jc w:val="both"/>
        <w:rPr>
          <w:rFonts w:ascii="Palatino Linotype" w:eastAsia="MS Mincho" w:hAnsi="Palatino Linotype" w:cs="Arial"/>
          <w:i/>
          <w:lang w:val="es-ES_tradnl"/>
        </w:rPr>
      </w:pPr>
    </w:p>
    <w:p w14:paraId="3C3D1A43" w14:textId="3945B825" w:rsidR="00082543" w:rsidRPr="005D01A5" w:rsidRDefault="00082543" w:rsidP="005228CE">
      <w:pPr>
        <w:spacing w:after="0" w:line="360" w:lineRule="auto"/>
        <w:jc w:val="both"/>
        <w:rPr>
          <w:rFonts w:ascii="Palatino Linotype" w:hAnsi="Palatino Linotype" w:cs="Arial"/>
        </w:rPr>
      </w:pPr>
      <w:r w:rsidRPr="005D01A5">
        <w:rPr>
          <w:rFonts w:ascii="Palatino Linotype" w:hAnsi="Palatino Linotype" w:cs="Arial"/>
        </w:rPr>
        <w:t xml:space="preserve">Argumento que se fortalece con lo estipulado en el criterio número 6-09, </w:t>
      </w:r>
      <w:r w:rsidR="00001261" w:rsidRPr="005D01A5">
        <w:rPr>
          <w:rFonts w:ascii="Palatino Linotype" w:hAnsi="Palatino Linotype" w:cs="Arial"/>
        </w:rPr>
        <w:t>d</w:t>
      </w:r>
      <w:r w:rsidRPr="005D01A5">
        <w:rPr>
          <w:rFonts w:ascii="Palatino Linotype" w:hAnsi="Palatino Linotype" w:cs="Arial"/>
        </w:rPr>
        <w:t xml:space="preserve">el Instituto Nacional de Transparencia, Acceso a la Información y Protección de Datos Personales, antes </w:t>
      </w:r>
      <w:r w:rsidRPr="005D01A5">
        <w:rPr>
          <w:rFonts w:ascii="Palatino Linotype" w:hAnsi="Palatino Linotype" w:cs="Arial"/>
          <w:lang w:eastAsia="es-MX"/>
        </w:rPr>
        <w:t>(I</w:t>
      </w:r>
      <w:r w:rsidR="00001261" w:rsidRPr="005D01A5">
        <w:rPr>
          <w:rFonts w:ascii="Palatino Linotype" w:hAnsi="Palatino Linotype" w:cs="Arial"/>
          <w:lang w:eastAsia="es-MX"/>
        </w:rPr>
        <w:t>N</w:t>
      </w:r>
      <w:r w:rsidRPr="005D01A5">
        <w:rPr>
          <w:rFonts w:ascii="Palatino Linotype" w:hAnsi="Palatino Linotype" w:cs="Arial"/>
          <w:lang w:eastAsia="es-MX"/>
        </w:rPr>
        <w:t>AI)</w:t>
      </w:r>
      <w:r w:rsidRPr="005D01A5">
        <w:rPr>
          <w:rStyle w:val="Textoennegrita"/>
          <w:rFonts w:ascii="Palatino Linotype" w:hAnsi="Palatino Linotype" w:cs="Arial"/>
        </w:rPr>
        <w:t xml:space="preserve">, </w:t>
      </w:r>
      <w:r w:rsidRPr="005D01A5">
        <w:rPr>
          <w:rFonts w:ascii="Palatino Linotype" w:hAnsi="Palatino Linotype" w:cs="Arial"/>
        </w:rPr>
        <w:t xml:space="preserve">el cual refiere: </w:t>
      </w:r>
    </w:p>
    <w:p w14:paraId="463C0DFB" w14:textId="77777777" w:rsidR="005228CE" w:rsidRDefault="005228CE" w:rsidP="005228CE">
      <w:pPr>
        <w:spacing w:after="0" w:line="360" w:lineRule="auto"/>
        <w:jc w:val="both"/>
        <w:rPr>
          <w:rFonts w:ascii="Palatino Linotype" w:hAnsi="Palatino Linotype" w:cs="Arial"/>
        </w:rPr>
      </w:pPr>
    </w:p>
    <w:p w14:paraId="25D402E6" w14:textId="77777777" w:rsidR="00B6097D" w:rsidRPr="005D01A5" w:rsidRDefault="00B6097D" w:rsidP="005228CE">
      <w:pPr>
        <w:spacing w:after="0" w:line="360" w:lineRule="auto"/>
        <w:jc w:val="both"/>
        <w:rPr>
          <w:rFonts w:ascii="Palatino Linotype" w:hAnsi="Palatino Linotype" w:cs="Arial"/>
        </w:rPr>
      </w:pPr>
    </w:p>
    <w:p w14:paraId="0F254E77" w14:textId="77777777" w:rsidR="00082543" w:rsidRPr="005D01A5" w:rsidRDefault="00082543" w:rsidP="00683662">
      <w:pPr>
        <w:autoSpaceDE w:val="0"/>
        <w:autoSpaceDN w:val="0"/>
        <w:adjustRightInd w:val="0"/>
        <w:spacing w:after="0" w:line="360" w:lineRule="auto"/>
        <w:ind w:left="567" w:right="567"/>
        <w:jc w:val="both"/>
        <w:rPr>
          <w:rFonts w:ascii="Palatino Linotype" w:hAnsi="Palatino Linotype" w:cs="Arial"/>
          <w:i/>
          <w:sz w:val="20"/>
          <w:lang w:eastAsia="es-MX"/>
        </w:rPr>
      </w:pPr>
      <w:r w:rsidRPr="005D01A5">
        <w:rPr>
          <w:rFonts w:ascii="Palatino Linotype" w:hAnsi="Palatino Linotype" w:cs="Arial"/>
          <w:b/>
          <w:bCs/>
          <w:i/>
          <w:sz w:val="20"/>
          <w:lang w:eastAsia="es-MX"/>
        </w:rPr>
        <w:lastRenderedPageBreak/>
        <w:t>“Criterio 6-09</w:t>
      </w:r>
    </w:p>
    <w:p w14:paraId="253FE1B5" w14:textId="77777777" w:rsidR="00082543" w:rsidRPr="005D01A5" w:rsidRDefault="00082543" w:rsidP="00683662">
      <w:pPr>
        <w:autoSpaceDE w:val="0"/>
        <w:autoSpaceDN w:val="0"/>
        <w:adjustRightInd w:val="0"/>
        <w:spacing w:after="0" w:line="360" w:lineRule="auto"/>
        <w:ind w:left="567" w:right="567"/>
        <w:jc w:val="both"/>
        <w:rPr>
          <w:rFonts w:ascii="Palatino Linotype" w:hAnsi="Palatino Linotype" w:cs="Arial"/>
          <w:i/>
          <w:sz w:val="20"/>
          <w:lang w:eastAsia="es-MX"/>
        </w:rPr>
      </w:pPr>
      <w:r w:rsidRPr="005D01A5">
        <w:rPr>
          <w:rFonts w:ascii="Palatino Linotype" w:hAnsi="Palatino Linotype" w:cs="Arial"/>
          <w:b/>
          <w:bCs/>
          <w:i/>
          <w:sz w:val="20"/>
          <w:lang w:eastAsia="es-MX"/>
        </w:rPr>
        <w:t xml:space="preserve">Nombres de servidores públicos dedicados a actividades en materia de seguridad, por excepción pueden considerarse información reservada. </w:t>
      </w:r>
      <w:r w:rsidRPr="005D01A5">
        <w:rPr>
          <w:rFonts w:ascii="Palatino Linotype" w:hAnsi="Palatino Linotype" w:cs="Arial"/>
          <w:bCs/>
          <w:i/>
          <w:sz w:val="20"/>
          <w:lang w:eastAsia="es-MX"/>
        </w:rPr>
        <w:t xml:space="preserve">De conformidad con el artículo 7, fracciones I y III de la Ley Federal de Transparencia y Acceso a la Información Pública Gubernamental </w:t>
      </w:r>
      <w:r w:rsidRPr="005D01A5">
        <w:rPr>
          <w:rFonts w:ascii="Palatino Linotype" w:hAnsi="Palatino Linotype" w:cs="Arial"/>
          <w:b/>
          <w:bCs/>
          <w:i/>
          <w:sz w:val="20"/>
          <w:u w:val="single"/>
          <w:lang w:eastAsia="es-MX"/>
        </w:rPr>
        <w:t>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5D01A5">
        <w:rPr>
          <w:rFonts w:ascii="Palatino Linotype" w:hAnsi="Palatino Linotype" w:cs="Arial"/>
          <w:bCs/>
          <w:i/>
          <w:sz w:val="20"/>
          <w:lang w:eastAsia="es-MX"/>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5D01A5">
        <w:rPr>
          <w:rFonts w:ascii="Palatino Linotype" w:hAnsi="Palatino Linotype" w:cs="Arial"/>
          <w:b/>
          <w:bCs/>
          <w:i/>
          <w:sz w:val="20"/>
          <w:u w:val="single"/>
          <w:lang w:eastAsia="es-MX"/>
        </w:rPr>
        <w:t>el artículo 13, fracción I de la ley de referencia se establece que podrá clasificarse aquella información cuya difusión pueda comprometer la seguridad nacional y pública</w:t>
      </w:r>
      <w:r w:rsidRPr="005D01A5">
        <w:rPr>
          <w:rFonts w:ascii="Palatino Linotype" w:hAnsi="Palatino Linotype" w:cs="Arial"/>
          <w:bCs/>
          <w:i/>
          <w:sz w:val="20"/>
          <w:lang w:eastAsia="es-MX"/>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5D01A5">
        <w:rPr>
          <w:rFonts w:ascii="Palatino Linotype" w:hAnsi="Palatino Linotype" w:cs="Arial"/>
          <w:b/>
          <w:bCs/>
          <w:i/>
          <w:sz w:val="20"/>
          <w:u w:val="single"/>
          <w:lang w:eastAsia="es-MX"/>
        </w:rPr>
        <w:t>por lo que la reserva de la relación de los nombres y las funciones que desempeñan los servidores públicos que prestan sus servicios en áreas de seguridad nacional o pública</w:t>
      </w:r>
      <w:r w:rsidRPr="005D01A5">
        <w:rPr>
          <w:rFonts w:ascii="Palatino Linotype" w:hAnsi="Palatino Linotype" w:cs="Arial"/>
          <w:bCs/>
          <w:i/>
          <w:sz w:val="20"/>
          <w:lang w:eastAsia="es-MX"/>
        </w:rPr>
        <w:t>, puede llegar a constituirse en un componente fundamental en el esfuerzo que realiza el Estado Mexicano para garantizar la seguridad del país en sus diferentes vertientes</w:t>
      </w:r>
      <w:r w:rsidRPr="005D01A5">
        <w:rPr>
          <w:rFonts w:ascii="Palatino Linotype" w:hAnsi="Palatino Linotype" w:cs="Arial"/>
          <w:i/>
          <w:sz w:val="20"/>
          <w:lang w:eastAsia="es-MX"/>
        </w:rPr>
        <w:t>” (Sic)</w:t>
      </w:r>
    </w:p>
    <w:p w14:paraId="7787BDB5" w14:textId="1AA7AD9B" w:rsidR="001C7572" w:rsidRPr="005D01A5" w:rsidRDefault="005D01A5" w:rsidP="00683662">
      <w:pPr>
        <w:tabs>
          <w:tab w:val="left" w:pos="3583"/>
        </w:tabs>
        <w:autoSpaceDE w:val="0"/>
        <w:autoSpaceDN w:val="0"/>
        <w:adjustRightInd w:val="0"/>
        <w:spacing w:after="0" w:line="360" w:lineRule="auto"/>
        <w:ind w:left="567" w:right="567"/>
        <w:jc w:val="both"/>
        <w:rPr>
          <w:rFonts w:ascii="Palatino Linotype" w:hAnsi="Palatino Linotype" w:cs="Arial"/>
          <w:sz w:val="20"/>
          <w:lang w:eastAsia="es-MX"/>
        </w:rPr>
      </w:pPr>
      <w:r>
        <w:rPr>
          <w:rFonts w:ascii="Palatino Linotype" w:hAnsi="Palatino Linotype" w:cs="Arial"/>
          <w:sz w:val="20"/>
          <w:lang w:eastAsia="es-MX"/>
        </w:rPr>
        <w:t>(</w:t>
      </w:r>
      <w:r w:rsidR="00082543" w:rsidRPr="005D01A5">
        <w:rPr>
          <w:rFonts w:ascii="Palatino Linotype" w:hAnsi="Palatino Linotype" w:cs="Arial"/>
          <w:sz w:val="20"/>
          <w:lang w:eastAsia="es-MX"/>
        </w:rPr>
        <w:t>Énfasis añadido</w:t>
      </w:r>
      <w:r>
        <w:rPr>
          <w:rFonts w:ascii="Palatino Linotype" w:hAnsi="Palatino Linotype" w:cs="Arial"/>
          <w:sz w:val="20"/>
          <w:lang w:eastAsia="es-MX"/>
        </w:rPr>
        <w:t>)</w:t>
      </w:r>
      <w:r w:rsidR="00082543" w:rsidRPr="005D01A5">
        <w:rPr>
          <w:rFonts w:ascii="Palatino Linotype" w:hAnsi="Palatino Linotype" w:cs="Arial"/>
          <w:sz w:val="20"/>
          <w:lang w:eastAsia="es-MX"/>
        </w:rPr>
        <w:t>.</w:t>
      </w:r>
    </w:p>
    <w:p w14:paraId="1EC29241" w14:textId="2D85CAD5" w:rsidR="00082543" w:rsidRPr="005D01A5" w:rsidRDefault="00082543" w:rsidP="00683662">
      <w:pPr>
        <w:tabs>
          <w:tab w:val="left" w:pos="3583"/>
        </w:tabs>
        <w:autoSpaceDE w:val="0"/>
        <w:autoSpaceDN w:val="0"/>
        <w:adjustRightInd w:val="0"/>
        <w:spacing w:after="0" w:line="360" w:lineRule="auto"/>
        <w:ind w:left="567" w:right="567"/>
        <w:jc w:val="both"/>
        <w:rPr>
          <w:rFonts w:ascii="Palatino Linotype" w:hAnsi="Palatino Linotype" w:cs="Arial"/>
          <w:i/>
          <w:lang w:eastAsia="es-MX"/>
        </w:rPr>
      </w:pPr>
      <w:r w:rsidRPr="005D01A5">
        <w:rPr>
          <w:rFonts w:ascii="Palatino Linotype" w:hAnsi="Palatino Linotype" w:cs="Arial"/>
          <w:i/>
          <w:lang w:eastAsia="es-MX"/>
        </w:rPr>
        <w:tab/>
      </w:r>
    </w:p>
    <w:p w14:paraId="05858540" w14:textId="3E775E03" w:rsidR="00082543" w:rsidRPr="005D01A5" w:rsidRDefault="00082543" w:rsidP="005228CE">
      <w:pPr>
        <w:spacing w:after="0" w:line="360" w:lineRule="auto"/>
        <w:jc w:val="both"/>
        <w:rPr>
          <w:rFonts w:ascii="Palatino Linotype" w:hAnsi="Palatino Linotype" w:cs="Arial"/>
        </w:rPr>
      </w:pPr>
      <w:r w:rsidRPr="005D01A5">
        <w:rPr>
          <w:rFonts w:ascii="Palatino Linotype" w:hAnsi="Palatino Linotype"/>
        </w:rPr>
        <w:t>En efecto, con base en lo expuesto por el ahora</w:t>
      </w:r>
      <w:r w:rsidRPr="005D01A5">
        <w:rPr>
          <w:rFonts w:ascii="Palatino Linotype" w:hAnsi="Palatino Linotype" w:cs="Arial"/>
        </w:rPr>
        <w:t xml:space="preserve"> Instituto Nacional de Transparencia, Acceso a la Información y Protección de Datos Personales, desde el año dos mil nueve, ya se había precisado que la manera de evitar que se haga</w:t>
      </w:r>
      <w:r w:rsidR="00E472AD" w:rsidRPr="005D01A5">
        <w:rPr>
          <w:rFonts w:ascii="Palatino Linotype" w:hAnsi="Palatino Linotype" w:cs="Arial"/>
        </w:rPr>
        <w:t>n</w:t>
      </w:r>
      <w:r w:rsidRPr="005D01A5">
        <w:rPr>
          <w:rFonts w:ascii="Palatino Linotype" w:hAnsi="Palatino Linotype" w:cs="Arial"/>
        </w:rPr>
        <w:t xml:space="preserve"> identificables los policías, quienes al realizar funciones operativas, en el contexto nacional en donde la violencia se ha recrudecido y el </w:t>
      </w:r>
      <w:r w:rsidRPr="005D01A5">
        <w:rPr>
          <w:rFonts w:ascii="Palatino Linotype" w:hAnsi="Palatino Linotype" w:cs="Arial"/>
        </w:rPr>
        <w:lastRenderedPageBreak/>
        <w:t>Estado Mexicano ha redoblado esfuerzos para garantizar la seguridad pública, es eliminando el nombre de estos elementos en aquellos documentos que se entreguen en atención a solicitudes de acceso a la información pública.</w:t>
      </w:r>
    </w:p>
    <w:p w14:paraId="211F5233" w14:textId="77777777" w:rsidR="005228CE" w:rsidRPr="005D01A5" w:rsidRDefault="005228CE" w:rsidP="005228CE">
      <w:pPr>
        <w:spacing w:after="0" w:line="360" w:lineRule="auto"/>
        <w:jc w:val="both"/>
        <w:rPr>
          <w:rFonts w:ascii="Palatino Linotype" w:hAnsi="Palatino Linotype"/>
        </w:rPr>
      </w:pPr>
    </w:p>
    <w:p w14:paraId="6E559A3A" w14:textId="5ADC8AC7" w:rsidR="00082543" w:rsidRPr="005D01A5" w:rsidRDefault="006A79BA" w:rsidP="005228CE">
      <w:pPr>
        <w:spacing w:after="0" w:line="360" w:lineRule="auto"/>
        <w:jc w:val="both"/>
        <w:rPr>
          <w:rFonts w:ascii="Palatino Linotype" w:hAnsi="Palatino Linotype" w:cs="Segoe UI"/>
        </w:rPr>
      </w:pPr>
      <w:r>
        <w:rPr>
          <w:rFonts w:ascii="Palatino Linotype" w:hAnsi="Palatino Linotype"/>
        </w:rPr>
        <w:t>Así</w:t>
      </w:r>
      <w:r w:rsidR="00082543" w:rsidRPr="005D01A5">
        <w:rPr>
          <w:rFonts w:ascii="Palatino Linotype" w:hAnsi="Palatino Linotype"/>
        </w:rPr>
        <w:t xml:space="preserve">, el </w:t>
      </w:r>
      <w:r w:rsidR="00082543" w:rsidRPr="005D01A5">
        <w:rPr>
          <w:rFonts w:ascii="Palatino Linotype" w:hAnsi="Palatino Linotype" w:cs="Segoe UI"/>
        </w:rPr>
        <w:t xml:space="preserve">derecho de acceso a la información encuentra límites en </w:t>
      </w:r>
      <w:r w:rsidR="00E472AD" w:rsidRPr="005D01A5">
        <w:rPr>
          <w:rFonts w:ascii="Palatino Linotype" w:hAnsi="Palatino Linotype" w:cs="Segoe UI"/>
        </w:rPr>
        <w:t xml:space="preserve">el propio texto constitucional </w:t>
      </w:r>
      <w:r w:rsidR="00082543" w:rsidRPr="005D01A5">
        <w:rPr>
          <w:rFonts w:ascii="Palatino Linotype" w:hAnsi="Palatino Linotype" w:cs="Segoe UI"/>
        </w:rPr>
        <w:t>y que, en razón de ello, debe existir una armonización congruent</w:t>
      </w:r>
      <w:r w:rsidR="00E472AD" w:rsidRPr="005D01A5">
        <w:rPr>
          <w:rFonts w:ascii="Palatino Linotype" w:hAnsi="Palatino Linotype" w:cs="Segoe UI"/>
        </w:rPr>
        <w:t xml:space="preserve">e con ese derecho fundamental </w:t>
      </w:r>
      <w:r w:rsidR="00082543" w:rsidRPr="005D01A5">
        <w:rPr>
          <w:rFonts w:ascii="Palatino Linotype" w:hAnsi="Palatino Linotype" w:cs="Segoe UI"/>
        </w:rPr>
        <w:t xml:space="preserve">con los principios rectores de la función del Sujeto Obligado, lo cual encuentra sustento en las tesis jurisprudenciales emitidas por la Suprema Corte de Justicia de la Nación, </w:t>
      </w:r>
      <w:r>
        <w:rPr>
          <w:rFonts w:ascii="Palatino Linotype" w:hAnsi="Palatino Linotype" w:cs="Segoe UI"/>
        </w:rPr>
        <w:t>que se citan a continuación</w:t>
      </w:r>
      <w:r w:rsidR="00082543" w:rsidRPr="005D01A5">
        <w:rPr>
          <w:rFonts w:ascii="Palatino Linotype" w:hAnsi="Palatino Linotype" w:cs="Segoe UI"/>
        </w:rPr>
        <w:t xml:space="preserve">: </w:t>
      </w:r>
    </w:p>
    <w:p w14:paraId="08F1399E" w14:textId="77777777" w:rsidR="005228CE" w:rsidRPr="005D01A5" w:rsidRDefault="005228CE" w:rsidP="005228CE">
      <w:pPr>
        <w:spacing w:after="0" w:line="360" w:lineRule="auto"/>
        <w:jc w:val="both"/>
        <w:rPr>
          <w:rFonts w:ascii="Palatino Linotype" w:hAnsi="Palatino Linotype" w:cs="Segoe UI"/>
        </w:rPr>
      </w:pPr>
    </w:p>
    <w:p w14:paraId="650A82D4" w14:textId="77777777" w:rsidR="00082543" w:rsidRPr="006A79BA" w:rsidRDefault="00082543" w:rsidP="00683662">
      <w:pPr>
        <w:autoSpaceDE w:val="0"/>
        <w:autoSpaceDN w:val="0"/>
        <w:adjustRightInd w:val="0"/>
        <w:spacing w:after="0" w:line="360" w:lineRule="auto"/>
        <w:ind w:left="567" w:right="567"/>
        <w:jc w:val="both"/>
        <w:rPr>
          <w:rFonts w:ascii="Palatino Linotype" w:eastAsia="Calibri" w:hAnsi="Palatino Linotype" w:cs="Arial"/>
          <w:i/>
          <w:sz w:val="20"/>
        </w:rPr>
      </w:pPr>
      <w:r w:rsidRPr="006A79BA">
        <w:rPr>
          <w:rFonts w:ascii="Palatino Linotype" w:eastAsia="Calibri" w:hAnsi="Palatino Linotype" w:cs="Arial"/>
          <w:b/>
          <w:bCs/>
          <w:i/>
          <w:sz w:val="20"/>
        </w:rPr>
        <w:t xml:space="preserve">“DERECHO A LA INFORMACIÓN. SU EJERCICIO SE ENCUENTRA LIMITADO TANTO POR LOS INTERESES NACIONALES Y DE LA SOCIEDAD, COMO POR LOS DERECHOS DE TERCEROS. </w:t>
      </w:r>
      <w:r w:rsidRPr="006A79BA">
        <w:rPr>
          <w:rFonts w:ascii="Palatino Linotype" w:eastAsia="Calibri" w:hAnsi="Palatino Linotype" w:cs="Arial"/>
          <w:i/>
          <w:sz w:val="20"/>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información en esta materia, en razón de que su conocimiento público puede generar daños a los intereses nacionales y, por el otro, sancionan la inobservancia de esa reserva; por lo que hace al interés social, se cuenta con normas que tienden a proteger la averiguación de los delitos, la salud </w:t>
      </w:r>
      <w:r w:rsidRPr="006A79BA">
        <w:rPr>
          <w:rFonts w:ascii="Palatino Linotype" w:eastAsia="Calibri" w:hAnsi="Palatino Linotype" w:cs="Arial"/>
          <w:i/>
          <w:sz w:val="20"/>
        </w:rPr>
        <w:lastRenderedPageBreak/>
        <w:t>y la moral públicas, mientras que por lo que respecta a la protección de la persona existen normas que protegen el derecho a la vida o a la privacidad de los gobernados.”</w:t>
      </w:r>
    </w:p>
    <w:p w14:paraId="5F49DE3F" w14:textId="77777777" w:rsidR="00082543" w:rsidRPr="006A79BA" w:rsidRDefault="00082543" w:rsidP="00683662">
      <w:pPr>
        <w:shd w:val="clear" w:color="auto" w:fill="FFFFFF"/>
        <w:spacing w:after="0" w:line="360" w:lineRule="auto"/>
        <w:ind w:left="567" w:right="567"/>
        <w:jc w:val="both"/>
        <w:rPr>
          <w:sz w:val="20"/>
          <w:lang w:eastAsia="es-MX"/>
        </w:rPr>
      </w:pPr>
      <w:r w:rsidRPr="006A79BA">
        <w:rPr>
          <w:rFonts w:ascii="Palatino Linotype" w:hAnsi="Palatino Linotype"/>
          <w:b/>
          <w:bCs/>
          <w:i/>
          <w:iCs/>
          <w:sz w:val="20"/>
          <w:lang w:eastAsia="es-MX"/>
        </w:rPr>
        <w:t xml:space="preserve"> </w:t>
      </w:r>
    </w:p>
    <w:p w14:paraId="2FE011EC" w14:textId="77777777" w:rsidR="00082543" w:rsidRPr="006A79BA" w:rsidRDefault="00082543" w:rsidP="00683662">
      <w:pPr>
        <w:shd w:val="clear" w:color="auto" w:fill="FFFFFF"/>
        <w:spacing w:after="0" w:line="360" w:lineRule="auto"/>
        <w:ind w:left="567" w:right="567"/>
        <w:jc w:val="both"/>
        <w:rPr>
          <w:sz w:val="20"/>
          <w:lang w:eastAsia="es-MX"/>
        </w:rPr>
      </w:pPr>
      <w:r w:rsidRPr="006A79BA">
        <w:rPr>
          <w:rFonts w:ascii="Palatino Linotype" w:hAnsi="Palatino Linotype"/>
          <w:b/>
          <w:bCs/>
          <w:i/>
          <w:iCs/>
          <w:sz w:val="20"/>
          <w:lang w:eastAsia="es-MX"/>
        </w:rPr>
        <w:t>“TRANSPARENCIA Y ACCESO A LA INFORMACIÓN PÚBLICA GUBERNAMENTAL. EL ARTÍCULO 14, FRACCIÓN I, DE LA LEY FEDERAL RELATIVA, NO VIOLA LA GARANTÍA DE ACCESO A LA INFORMACIÓN.</w:t>
      </w:r>
      <w:r w:rsidRPr="006A79BA">
        <w:rPr>
          <w:rFonts w:ascii="Palatino Linotype" w:hAnsi="Palatino Linotype"/>
          <w:i/>
          <w:iCs/>
          <w:sz w:val="20"/>
          <w:lang w:eastAsia="es-MX"/>
        </w:rPr>
        <w:t>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6A79BA">
        <w:rPr>
          <w:rFonts w:ascii="Palatino Linotype" w:hAnsi="Palatino Linotype"/>
          <w:b/>
          <w:bCs/>
          <w:i/>
          <w:iCs/>
          <w:sz w:val="20"/>
          <w:lang w:eastAsia="es-MX"/>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6A79BA">
        <w:rPr>
          <w:rFonts w:ascii="Palatino Linotype" w:hAnsi="Palatino Linotype"/>
          <w:i/>
          <w:iCs/>
          <w:sz w:val="20"/>
          <w:lang w:eastAsia="es-MX"/>
        </w:rPr>
        <w:t>, la cual debe ser adecuada y necesaria para alcanzar el fin perseguido, de manera que las ventajas obtenidas con la reserva compensen el sacrificio que ésta implique para los titulares de la garantía individual mencionada o para la sociedad en general.”</w:t>
      </w:r>
    </w:p>
    <w:p w14:paraId="421C47F3" w14:textId="77777777" w:rsidR="00082543" w:rsidRPr="005D01A5" w:rsidRDefault="00082543" w:rsidP="005228CE">
      <w:pPr>
        <w:shd w:val="clear" w:color="auto" w:fill="FFFFFF"/>
        <w:spacing w:after="0" w:line="360" w:lineRule="auto"/>
        <w:ind w:left="851" w:right="902"/>
        <w:jc w:val="both"/>
        <w:rPr>
          <w:lang w:eastAsia="es-MX"/>
        </w:rPr>
      </w:pPr>
    </w:p>
    <w:p w14:paraId="0FFB0910" w14:textId="4D26DD26" w:rsidR="00082543" w:rsidRPr="005D01A5" w:rsidRDefault="00B6097D" w:rsidP="005228CE">
      <w:pPr>
        <w:spacing w:after="0" w:line="360" w:lineRule="auto"/>
        <w:jc w:val="both"/>
        <w:rPr>
          <w:rFonts w:ascii="Palatino Linotype" w:hAnsi="Palatino Linotype" w:cs="Arial"/>
        </w:rPr>
      </w:pPr>
      <w:r>
        <w:rPr>
          <w:rFonts w:ascii="Palatino Linotype" w:hAnsi="Palatino Linotype" w:cs="Arial"/>
        </w:rPr>
        <w:lastRenderedPageBreak/>
        <w:t>En efecto, de acuerdo con</w:t>
      </w:r>
      <w:r w:rsidR="00082543" w:rsidRPr="005D01A5">
        <w:rPr>
          <w:rFonts w:ascii="Palatino Linotype" w:hAnsi="Palatino Linotype" w:cs="Arial"/>
        </w:rPr>
        <w:t xml:space="preserve"> lo expuesto, la lim</w:t>
      </w:r>
      <w:r>
        <w:rPr>
          <w:rFonts w:ascii="Palatino Linotype" w:hAnsi="Palatino Linotype" w:cs="Arial"/>
        </w:rPr>
        <w:t xml:space="preserve">itación de acceder al nombre del personal con </w:t>
      </w:r>
      <w:r w:rsidR="00082543" w:rsidRPr="005D01A5">
        <w:rPr>
          <w:rFonts w:ascii="Palatino Linotype" w:hAnsi="Palatino Linotype" w:cs="Arial"/>
        </w:rPr>
        <w:t>funciones operativas dentro de la nómina es proporcional y adecuad</w:t>
      </w:r>
      <w:r w:rsidR="00E472AD" w:rsidRPr="005D01A5">
        <w:rPr>
          <w:rFonts w:ascii="Palatino Linotype" w:hAnsi="Palatino Linotype" w:cs="Arial"/>
        </w:rPr>
        <w:t>a</w:t>
      </w:r>
      <w:r w:rsidR="00082543" w:rsidRPr="005D01A5">
        <w:rPr>
          <w:rFonts w:ascii="Palatino Linotype" w:hAnsi="Palatino Linotype" w:cs="Arial"/>
        </w:rPr>
        <w:t xml:space="preserve">, respecto del bien jurídico tutelado; esto es, ordenar la entrega de la nómina de servidores públicos del Sujeto Obligado en donde únicamente se elimine el nombre </w:t>
      </w:r>
      <w:r>
        <w:rPr>
          <w:rFonts w:ascii="Palatino Linotype" w:hAnsi="Palatino Linotype" w:cs="Arial"/>
        </w:rPr>
        <w:t>de los servidores públicos que realizan funciones operativas en materia de seguridad pública</w:t>
      </w:r>
      <w:r w:rsidR="00082543" w:rsidRPr="005D01A5">
        <w:rPr>
          <w:rFonts w:ascii="Palatino Linotype" w:hAnsi="Palatino Linotype" w:cs="Arial"/>
        </w:rPr>
        <w:t>, permite garantizar el acceso a la información pública que es de interés público, por estar relacionado con el ejercicio de recursos públicos –sa</w:t>
      </w:r>
      <w:r w:rsidR="006A79BA">
        <w:rPr>
          <w:rFonts w:ascii="Palatino Linotype" w:hAnsi="Palatino Linotype" w:cs="Arial"/>
        </w:rPr>
        <w:t xml:space="preserve">lario de servidores públicos- y, as u vez, </w:t>
      </w:r>
      <w:r w:rsidR="00082543" w:rsidRPr="005D01A5">
        <w:rPr>
          <w:rFonts w:ascii="Palatino Linotype" w:hAnsi="Palatino Linotype" w:cs="Arial"/>
        </w:rPr>
        <w:t xml:space="preserve">se protege la vida, salud o seguridad de los elementos operativos encargados del combate a los delincuentes y prevención de los delitos, ya que con la eliminación de su nombre en dicho documento es imposible hacerlos identificables a través de este.  </w:t>
      </w:r>
    </w:p>
    <w:p w14:paraId="2C975D04" w14:textId="77777777" w:rsidR="00767DA9" w:rsidRPr="005D01A5" w:rsidRDefault="00767DA9" w:rsidP="005228CE">
      <w:pPr>
        <w:spacing w:after="0" w:line="360" w:lineRule="auto"/>
        <w:jc w:val="both"/>
        <w:rPr>
          <w:rFonts w:ascii="Palatino Linotype" w:hAnsi="Palatino Linotype" w:cs="Tahoma"/>
        </w:rPr>
      </w:pPr>
    </w:p>
    <w:p w14:paraId="45D830C1" w14:textId="77777777" w:rsidR="009E0861" w:rsidRPr="005D01A5" w:rsidRDefault="009E0861" w:rsidP="005228CE">
      <w:pPr>
        <w:spacing w:after="0" w:line="360" w:lineRule="auto"/>
        <w:jc w:val="both"/>
        <w:rPr>
          <w:rFonts w:ascii="Palatino Linotype" w:hAnsi="Palatino Linotype" w:cs="Tahoma"/>
        </w:rPr>
      </w:pPr>
      <w:r w:rsidRPr="005D01A5">
        <w:rPr>
          <w:rFonts w:ascii="Palatino Linotype" w:hAnsi="Palatino Linotype" w:cs="Tahoma"/>
        </w:rPr>
        <w:t xml:space="preserve">Así, con base en los razonamientos expuestos, </w:t>
      </w:r>
      <w:r w:rsidRPr="005D01A5">
        <w:rPr>
          <w:rFonts w:ascii="Palatino Linotype" w:hAnsi="Palatino Linotype" w:cs="Tahoma"/>
          <w:b/>
        </w:rPr>
        <w:t>se emite el presente Voto Particular</w:t>
      </w:r>
      <w:r w:rsidRPr="005D01A5">
        <w:rPr>
          <w:rFonts w:ascii="Palatino Linotype" w:hAnsi="Palatino Linotype" w:cs="Tahoma"/>
        </w:rPr>
        <w:t>.</w:t>
      </w:r>
    </w:p>
    <w:p w14:paraId="11D32ED6" w14:textId="77777777" w:rsidR="00041B19" w:rsidRPr="005D01A5" w:rsidRDefault="00041B19" w:rsidP="005228CE">
      <w:pPr>
        <w:spacing w:after="0" w:line="360" w:lineRule="auto"/>
        <w:jc w:val="both"/>
        <w:rPr>
          <w:rFonts w:ascii="Palatino Linotype" w:hAnsi="Palatino Linotype" w:cs="Tahoma"/>
        </w:rPr>
      </w:pPr>
    </w:p>
    <w:p w14:paraId="02A290C4" w14:textId="77777777" w:rsidR="007377CF" w:rsidRDefault="007377CF" w:rsidP="00B6097D">
      <w:pPr>
        <w:spacing w:after="0" w:line="360" w:lineRule="auto"/>
        <w:jc w:val="both"/>
        <w:rPr>
          <w:rFonts w:ascii="Palatino Linotype" w:hAnsi="Palatino Linotype" w:cs="Tahoma"/>
          <w:b/>
        </w:rPr>
      </w:pPr>
    </w:p>
    <w:p w14:paraId="5C69C1D6" w14:textId="77777777" w:rsidR="00553ADE" w:rsidRPr="005D01A5" w:rsidRDefault="00553ADE" w:rsidP="00B6097D">
      <w:pPr>
        <w:spacing w:after="0" w:line="360" w:lineRule="auto"/>
        <w:jc w:val="both"/>
        <w:rPr>
          <w:rFonts w:ascii="Palatino Linotype" w:hAnsi="Palatino Linotype" w:cs="Tahoma"/>
          <w:b/>
        </w:rPr>
      </w:pPr>
      <w:bookmarkStart w:id="0" w:name="_GoBack"/>
      <w:bookmarkEnd w:id="0"/>
      <w:r w:rsidRPr="005D01A5">
        <w:rPr>
          <w:rFonts w:ascii="Palatino Linotype" w:hAnsi="Palatino Linotype" w:cs="Tahoma"/>
          <w:b/>
        </w:rPr>
        <w:t>Luis Gustavo Parra Noriega</w:t>
      </w:r>
    </w:p>
    <w:p w14:paraId="603E2640" w14:textId="77777777" w:rsidR="003512C9" w:rsidRPr="005D01A5" w:rsidRDefault="00553ADE" w:rsidP="00B6097D">
      <w:pPr>
        <w:spacing w:after="0" w:line="360" w:lineRule="auto"/>
        <w:jc w:val="both"/>
        <w:rPr>
          <w:rFonts w:ascii="Palatino Linotype" w:hAnsi="Palatino Linotype" w:cs="Tahoma"/>
        </w:rPr>
      </w:pPr>
      <w:r w:rsidRPr="005D01A5">
        <w:rPr>
          <w:rFonts w:ascii="Palatino Linotype" w:hAnsi="Palatino Linotype" w:cs="Tahoma"/>
        </w:rPr>
        <w:t>Comisionado</w:t>
      </w:r>
    </w:p>
    <w:sectPr w:rsidR="003512C9" w:rsidRPr="005D01A5" w:rsidSect="00950355">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28AC7E" w14:textId="77777777" w:rsidR="00124BD9" w:rsidRDefault="00124BD9" w:rsidP="00EE29F6">
      <w:pPr>
        <w:spacing w:after="0" w:line="240" w:lineRule="auto"/>
      </w:pPr>
      <w:r>
        <w:separator/>
      </w:r>
    </w:p>
  </w:endnote>
  <w:endnote w:type="continuationSeparator" w:id="0">
    <w:p w14:paraId="7407974F" w14:textId="77777777" w:rsidR="00124BD9" w:rsidRDefault="00124BD9"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14:paraId="2002D3D7" w14:textId="77777777" w:rsidR="001C7572" w:rsidRDefault="001C7572">
            <w:pPr>
              <w:pStyle w:val="Piedepgina"/>
              <w:jc w:val="center"/>
            </w:pPr>
          </w:p>
          <w:p w14:paraId="63CD5457" w14:textId="278593A2" w:rsidR="00AC333A" w:rsidRDefault="00AC333A">
            <w:pPr>
              <w:pStyle w:val="Piedepgina"/>
              <w:jc w:val="center"/>
            </w:pPr>
            <w:r>
              <w:t xml:space="preserve">Página </w:t>
            </w:r>
            <w:r w:rsidR="0005256C">
              <w:rPr>
                <w:b/>
                <w:bCs/>
                <w:sz w:val="24"/>
                <w:szCs w:val="24"/>
              </w:rPr>
              <w:fldChar w:fldCharType="begin"/>
            </w:r>
            <w:r>
              <w:rPr>
                <w:b/>
                <w:bCs/>
              </w:rPr>
              <w:instrText>PAGE</w:instrText>
            </w:r>
            <w:r w:rsidR="0005256C">
              <w:rPr>
                <w:b/>
                <w:bCs/>
                <w:sz w:val="24"/>
                <w:szCs w:val="24"/>
              </w:rPr>
              <w:fldChar w:fldCharType="separate"/>
            </w:r>
            <w:r w:rsidR="007377CF">
              <w:rPr>
                <w:b/>
                <w:bCs/>
                <w:noProof/>
              </w:rPr>
              <w:t>6</w:t>
            </w:r>
            <w:r w:rsidR="0005256C">
              <w:rPr>
                <w:b/>
                <w:bCs/>
                <w:sz w:val="24"/>
                <w:szCs w:val="24"/>
              </w:rPr>
              <w:fldChar w:fldCharType="end"/>
            </w:r>
            <w:r>
              <w:t xml:space="preserve"> de </w:t>
            </w:r>
            <w:r w:rsidR="0005256C">
              <w:rPr>
                <w:b/>
                <w:bCs/>
                <w:sz w:val="24"/>
                <w:szCs w:val="24"/>
              </w:rPr>
              <w:fldChar w:fldCharType="begin"/>
            </w:r>
            <w:r>
              <w:rPr>
                <w:b/>
                <w:bCs/>
              </w:rPr>
              <w:instrText>NUMPAGES</w:instrText>
            </w:r>
            <w:r w:rsidR="0005256C">
              <w:rPr>
                <w:b/>
                <w:bCs/>
                <w:sz w:val="24"/>
                <w:szCs w:val="24"/>
              </w:rPr>
              <w:fldChar w:fldCharType="separate"/>
            </w:r>
            <w:r w:rsidR="007377CF">
              <w:rPr>
                <w:b/>
                <w:bCs/>
                <w:noProof/>
              </w:rPr>
              <w:t>7</w:t>
            </w:r>
            <w:r w:rsidR="0005256C">
              <w:rPr>
                <w:b/>
                <w:bCs/>
                <w:sz w:val="24"/>
                <w:szCs w:val="24"/>
              </w:rPr>
              <w:fldChar w:fldCharType="end"/>
            </w:r>
          </w:p>
        </w:sdtContent>
      </w:sdt>
    </w:sdtContent>
  </w:sdt>
  <w:p w14:paraId="57296B1D" w14:textId="77777777" w:rsidR="00AC333A" w:rsidRDefault="00AC333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DDDA7B" w14:textId="77777777" w:rsidR="00124BD9" w:rsidRDefault="00124BD9" w:rsidP="00EE29F6">
      <w:pPr>
        <w:spacing w:after="0" w:line="240" w:lineRule="auto"/>
      </w:pPr>
      <w:r>
        <w:separator/>
      </w:r>
    </w:p>
  </w:footnote>
  <w:footnote w:type="continuationSeparator" w:id="0">
    <w:p w14:paraId="3190238C" w14:textId="77777777" w:rsidR="00124BD9" w:rsidRDefault="00124BD9" w:rsidP="00EE29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0"/>
      <w:gridCol w:w="2552"/>
      <w:gridCol w:w="3685"/>
    </w:tblGrid>
    <w:tr w:rsidR="001C40B1" w:rsidRPr="001106EA" w14:paraId="4595F4F2" w14:textId="77777777" w:rsidTr="001C40B1">
      <w:trPr>
        <w:trHeight w:val="454"/>
      </w:trPr>
      <w:tc>
        <w:tcPr>
          <w:tcW w:w="2830" w:type="dxa"/>
          <w:vMerge w:val="restart"/>
          <w:vAlign w:val="center"/>
        </w:tcPr>
        <w:p w14:paraId="45B961DA" w14:textId="11F1F235" w:rsidR="001C40B1" w:rsidRDefault="001C40B1" w:rsidP="001C40B1">
          <w:pPr>
            <w:pStyle w:val="Encabezado"/>
            <w:tabs>
              <w:tab w:val="clear" w:pos="4252"/>
              <w:tab w:val="center" w:pos="2614"/>
            </w:tabs>
            <w:ind w:left="-255"/>
          </w:pPr>
          <w:r>
            <w:rPr>
              <w:noProof/>
              <w:sz w:val="10"/>
              <w:szCs w:val="10"/>
              <w:lang w:val="es-MX" w:eastAsia="es-MX"/>
            </w:rPr>
            <w:drawing>
              <wp:inline distT="0" distB="0" distL="0" distR="0" wp14:anchorId="1F5EAAEA" wp14:editId="0DCF9998">
                <wp:extent cx="1873633" cy="11265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633" cy="1126540"/>
                        </a:xfrm>
                        <a:prstGeom prst="rect">
                          <a:avLst/>
                        </a:prstGeom>
                      </pic:spPr>
                    </pic:pic>
                  </a:graphicData>
                </a:graphic>
              </wp:inline>
            </w:drawing>
          </w:r>
        </w:p>
      </w:tc>
      <w:tc>
        <w:tcPr>
          <w:tcW w:w="2552" w:type="dxa"/>
          <w:vAlign w:val="center"/>
        </w:tcPr>
        <w:p w14:paraId="42DDD2B0" w14:textId="3F6BF95F" w:rsidR="001C40B1" w:rsidRPr="00B9745A" w:rsidRDefault="001C40B1" w:rsidP="001C40B1">
          <w:pPr>
            <w:pStyle w:val="Encabezado"/>
            <w:jc w:val="both"/>
            <w:rPr>
              <w:rFonts w:ascii="Palatino Linotype" w:hAnsi="Palatino Linotype" w:cs="Tahoma"/>
              <w:b/>
            </w:rPr>
          </w:pPr>
          <w:r w:rsidRPr="00B9745A">
            <w:rPr>
              <w:rFonts w:ascii="Palatino Linotype" w:hAnsi="Palatino Linotype" w:cs="Tahoma"/>
              <w:b/>
            </w:rPr>
            <w:t>Voto Particular</w:t>
          </w:r>
        </w:p>
      </w:tc>
      <w:tc>
        <w:tcPr>
          <w:tcW w:w="3685" w:type="dxa"/>
          <w:vAlign w:val="center"/>
        </w:tcPr>
        <w:p w14:paraId="742B8B8F" w14:textId="5CEF262D" w:rsidR="001C40B1" w:rsidRPr="001106EA" w:rsidRDefault="001C40B1" w:rsidP="001C40B1">
          <w:pPr>
            <w:pStyle w:val="Encabezado"/>
            <w:jc w:val="both"/>
            <w:rPr>
              <w:rFonts w:ascii="Tahoma" w:hAnsi="Tahoma" w:cs="Tahoma"/>
            </w:rPr>
          </w:pPr>
        </w:p>
      </w:tc>
    </w:tr>
    <w:tr w:rsidR="001C40B1" w:rsidRPr="001106EA" w14:paraId="485715FC" w14:textId="77777777" w:rsidTr="001C40B1">
      <w:trPr>
        <w:trHeight w:val="454"/>
      </w:trPr>
      <w:tc>
        <w:tcPr>
          <w:tcW w:w="2830" w:type="dxa"/>
          <w:vMerge/>
          <w:vAlign w:val="center"/>
        </w:tcPr>
        <w:p w14:paraId="576283C2" w14:textId="77777777" w:rsidR="001C40B1" w:rsidRDefault="001C40B1" w:rsidP="0077694E">
          <w:pPr>
            <w:pStyle w:val="Encabezado"/>
            <w:tabs>
              <w:tab w:val="clear" w:pos="4252"/>
              <w:tab w:val="center" w:pos="2614"/>
            </w:tabs>
            <w:ind w:left="-255"/>
            <w:rPr>
              <w:noProof/>
              <w:sz w:val="10"/>
              <w:szCs w:val="10"/>
              <w:lang w:val="es-MX" w:eastAsia="es-MX"/>
            </w:rPr>
          </w:pPr>
        </w:p>
      </w:tc>
      <w:tc>
        <w:tcPr>
          <w:tcW w:w="2552" w:type="dxa"/>
          <w:vAlign w:val="center"/>
        </w:tcPr>
        <w:p w14:paraId="018860DC" w14:textId="337D0B77" w:rsidR="001C40B1" w:rsidRPr="00B9745A" w:rsidRDefault="001C40B1" w:rsidP="001C40B1">
          <w:pPr>
            <w:pStyle w:val="Encabezado"/>
            <w:jc w:val="both"/>
            <w:rPr>
              <w:rFonts w:ascii="Palatino Linotype" w:hAnsi="Palatino Linotype" w:cs="Tahoma"/>
              <w:b/>
            </w:rPr>
          </w:pPr>
          <w:r w:rsidRPr="00B9745A">
            <w:rPr>
              <w:rFonts w:ascii="Palatino Linotype" w:hAnsi="Palatino Linotype" w:cs="Tahoma"/>
              <w:b/>
            </w:rPr>
            <w:t>Recurso de Revisión:</w:t>
          </w:r>
        </w:p>
      </w:tc>
      <w:tc>
        <w:tcPr>
          <w:tcW w:w="3685" w:type="dxa"/>
          <w:vAlign w:val="center"/>
        </w:tcPr>
        <w:p w14:paraId="79659020" w14:textId="2EFA8420" w:rsidR="001C40B1" w:rsidRPr="00B9745A" w:rsidRDefault="001C40B1" w:rsidP="001C40B1">
          <w:pPr>
            <w:pStyle w:val="Encabezado"/>
            <w:jc w:val="both"/>
            <w:rPr>
              <w:rFonts w:ascii="Palatino Linotype" w:hAnsi="Palatino Linotype" w:cs="Tahoma"/>
              <w:b/>
            </w:rPr>
          </w:pPr>
          <w:r w:rsidRPr="00B9745A">
            <w:rPr>
              <w:rFonts w:ascii="Palatino Linotype" w:hAnsi="Palatino Linotype" w:cs="Tahoma"/>
              <w:b/>
            </w:rPr>
            <w:t>0</w:t>
          </w:r>
          <w:r>
            <w:rPr>
              <w:rFonts w:ascii="Palatino Linotype" w:hAnsi="Palatino Linotype" w:cs="Tahoma"/>
              <w:b/>
            </w:rPr>
            <w:t>0792/INFOEM/IP/RR/2019.</w:t>
          </w:r>
        </w:p>
      </w:tc>
    </w:tr>
    <w:tr w:rsidR="001C40B1" w:rsidRPr="001106EA" w14:paraId="1A6060D1" w14:textId="77777777" w:rsidTr="001C40B1">
      <w:trPr>
        <w:trHeight w:val="454"/>
      </w:trPr>
      <w:tc>
        <w:tcPr>
          <w:tcW w:w="2830" w:type="dxa"/>
          <w:vMerge/>
          <w:vAlign w:val="center"/>
        </w:tcPr>
        <w:p w14:paraId="4FF32FD9" w14:textId="77777777" w:rsidR="001C40B1" w:rsidRDefault="001C40B1" w:rsidP="0077694E">
          <w:pPr>
            <w:pStyle w:val="Encabezado"/>
            <w:tabs>
              <w:tab w:val="clear" w:pos="4252"/>
              <w:tab w:val="center" w:pos="2614"/>
            </w:tabs>
            <w:ind w:left="-255"/>
            <w:rPr>
              <w:noProof/>
              <w:sz w:val="10"/>
              <w:szCs w:val="10"/>
              <w:lang w:val="es-MX" w:eastAsia="es-MX"/>
            </w:rPr>
          </w:pPr>
        </w:p>
      </w:tc>
      <w:tc>
        <w:tcPr>
          <w:tcW w:w="2552" w:type="dxa"/>
          <w:vAlign w:val="center"/>
        </w:tcPr>
        <w:p w14:paraId="75219615" w14:textId="396451DC" w:rsidR="001C40B1" w:rsidRPr="00B9745A" w:rsidRDefault="001C40B1" w:rsidP="001C40B1">
          <w:pPr>
            <w:pStyle w:val="Encabezado"/>
            <w:jc w:val="both"/>
            <w:rPr>
              <w:rFonts w:ascii="Palatino Linotype" w:hAnsi="Palatino Linotype" w:cs="Tahoma"/>
              <w:b/>
            </w:rPr>
          </w:pPr>
          <w:r w:rsidRPr="008F2CCC">
            <w:rPr>
              <w:rFonts w:ascii="Palatino Linotype" w:hAnsi="Palatino Linotype"/>
              <w:b/>
              <w:lang w:val="es-ES_tradnl"/>
            </w:rPr>
            <w:t>Sujeto</w:t>
          </w:r>
          <w:r>
            <w:rPr>
              <w:rFonts w:ascii="Palatino Linotype" w:hAnsi="Palatino Linotype"/>
              <w:b/>
              <w:lang w:val="es-ES_tradnl"/>
            </w:rPr>
            <w:t xml:space="preserve"> </w:t>
          </w:r>
          <w:r w:rsidRPr="008F2CCC">
            <w:rPr>
              <w:rFonts w:ascii="Palatino Linotype" w:hAnsi="Palatino Linotype"/>
              <w:b/>
              <w:lang w:val="es-ES_tradnl"/>
            </w:rPr>
            <w:t>Obligado:</w:t>
          </w:r>
        </w:p>
      </w:tc>
      <w:tc>
        <w:tcPr>
          <w:tcW w:w="3685" w:type="dxa"/>
          <w:vAlign w:val="center"/>
        </w:tcPr>
        <w:p w14:paraId="3F7F86BA" w14:textId="60EE18B2" w:rsidR="001C40B1" w:rsidRPr="00B9745A" w:rsidRDefault="00E045D0" w:rsidP="001C40B1">
          <w:pPr>
            <w:pStyle w:val="Encabezado"/>
            <w:jc w:val="both"/>
            <w:rPr>
              <w:rFonts w:ascii="Palatino Linotype" w:hAnsi="Palatino Linotype" w:cs="Tahoma"/>
              <w:b/>
            </w:rPr>
          </w:pPr>
          <w:r>
            <w:rPr>
              <w:rFonts w:ascii="Palatino Linotype" w:hAnsi="Palatino Linotype"/>
              <w:b/>
              <w:bCs/>
            </w:rPr>
            <w:t>Ayuntamiento de Acambay de Ruí</w:t>
          </w:r>
          <w:r w:rsidR="001C40B1">
            <w:rPr>
              <w:rFonts w:ascii="Palatino Linotype" w:hAnsi="Palatino Linotype"/>
              <w:b/>
              <w:bCs/>
            </w:rPr>
            <w:t>z Castañeda</w:t>
          </w:r>
        </w:p>
      </w:tc>
    </w:tr>
    <w:tr w:rsidR="001C40B1" w:rsidRPr="001106EA" w14:paraId="3028B6E2" w14:textId="77777777" w:rsidTr="001C40B1">
      <w:trPr>
        <w:trHeight w:val="454"/>
      </w:trPr>
      <w:tc>
        <w:tcPr>
          <w:tcW w:w="2830" w:type="dxa"/>
          <w:vMerge/>
          <w:vAlign w:val="center"/>
        </w:tcPr>
        <w:p w14:paraId="7E6F0432" w14:textId="77777777" w:rsidR="001C40B1" w:rsidRDefault="001C40B1" w:rsidP="0077694E">
          <w:pPr>
            <w:pStyle w:val="Encabezado"/>
            <w:tabs>
              <w:tab w:val="clear" w:pos="4252"/>
              <w:tab w:val="center" w:pos="2614"/>
            </w:tabs>
            <w:ind w:left="-255"/>
            <w:rPr>
              <w:noProof/>
              <w:sz w:val="10"/>
              <w:szCs w:val="10"/>
              <w:lang w:val="es-MX" w:eastAsia="es-MX"/>
            </w:rPr>
          </w:pPr>
        </w:p>
      </w:tc>
      <w:tc>
        <w:tcPr>
          <w:tcW w:w="2552" w:type="dxa"/>
          <w:vAlign w:val="center"/>
        </w:tcPr>
        <w:p w14:paraId="6C002373" w14:textId="61C834DF" w:rsidR="001C40B1" w:rsidRPr="00B9745A" w:rsidRDefault="001C40B1" w:rsidP="001C40B1">
          <w:pPr>
            <w:pStyle w:val="Encabezado"/>
            <w:jc w:val="both"/>
            <w:rPr>
              <w:rFonts w:ascii="Palatino Linotype" w:hAnsi="Palatino Linotype" w:cs="Tahoma"/>
              <w:b/>
            </w:rPr>
          </w:pPr>
          <w:r w:rsidRPr="00B9745A">
            <w:rPr>
              <w:rFonts w:ascii="Palatino Linotype" w:hAnsi="Palatino Linotype" w:cs="Tahoma"/>
              <w:b/>
            </w:rPr>
            <w:t>Comisionado Ponente:</w:t>
          </w:r>
        </w:p>
      </w:tc>
      <w:tc>
        <w:tcPr>
          <w:tcW w:w="3685" w:type="dxa"/>
          <w:vAlign w:val="center"/>
        </w:tcPr>
        <w:p w14:paraId="0400DCF1" w14:textId="29518092" w:rsidR="001C40B1" w:rsidRPr="00B9745A" w:rsidRDefault="008202ED" w:rsidP="001C40B1">
          <w:pPr>
            <w:pStyle w:val="Encabezado"/>
            <w:jc w:val="both"/>
            <w:rPr>
              <w:rFonts w:ascii="Palatino Linotype" w:hAnsi="Palatino Linotype" w:cs="Tahoma"/>
              <w:b/>
            </w:rPr>
          </w:pPr>
          <w:r w:rsidRPr="007769F3">
            <w:rPr>
              <w:rFonts w:ascii="Palatino Linotype" w:hAnsi="Palatino Linotype"/>
              <w:b/>
              <w:lang w:val="es-ES_tradnl"/>
            </w:rPr>
            <w:t>Eva Abaid Yapur</w:t>
          </w:r>
        </w:p>
      </w:tc>
    </w:tr>
    <w:tr w:rsidR="001C40B1" w:rsidRPr="001106EA" w14:paraId="0553951F" w14:textId="77777777" w:rsidTr="001C40B1">
      <w:trPr>
        <w:trHeight w:val="567"/>
      </w:trPr>
      <w:tc>
        <w:tcPr>
          <w:tcW w:w="2830" w:type="dxa"/>
          <w:vAlign w:val="center"/>
        </w:tcPr>
        <w:p w14:paraId="2B2078BF" w14:textId="77777777" w:rsidR="001C40B1" w:rsidRDefault="001C40B1" w:rsidP="0077694E">
          <w:pPr>
            <w:pStyle w:val="Encabezado"/>
            <w:tabs>
              <w:tab w:val="clear" w:pos="4252"/>
              <w:tab w:val="center" w:pos="2614"/>
            </w:tabs>
            <w:ind w:left="-255"/>
            <w:rPr>
              <w:noProof/>
              <w:sz w:val="10"/>
              <w:szCs w:val="10"/>
              <w:lang w:val="es-MX" w:eastAsia="es-MX"/>
            </w:rPr>
          </w:pPr>
        </w:p>
      </w:tc>
      <w:tc>
        <w:tcPr>
          <w:tcW w:w="2552" w:type="dxa"/>
          <w:vAlign w:val="center"/>
        </w:tcPr>
        <w:p w14:paraId="17C512CD" w14:textId="77777777" w:rsidR="001C40B1" w:rsidRPr="00B9745A" w:rsidRDefault="001C40B1" w:rsidP="001C40B1">
          <w:pPr>
            <w:pStyle w:val="Encabezado"/>
            <w:jc w:val="both"/>
            <w:rPr>
              <w:rFonts w:ascii="Palatino Linotype" w:hAnsi="Palatino Linotype" w:cs="Tahoma"/>
              <w:b/>
            </w:rPr>
          </w:pPr>
        </w:p>
      </w:tc>
      <w:tc>
        <w:tcPr>
          <w:tcW w:w="3685" w:type="dxa"/>
          <w:vAlign w:val="center"/>
        </w:tcPr>
        <w:p w14:paraId="7E6F0D06" w14:textId="77777777" w:rsidR="001C40B1" w:rsidRPr="00674A46" w:rsidRDefault="001C40B1" w:rsidP="001C40B1">
          <w:pPr>
            <w:pStyle w:val="Encabezado"/>
            <w:jc w:val="both"/>
            <w:rPr>
              <w:rFonts w:ascii="Palatino Linotype" w:hAnsi="Palatino Linotype"/>
              <w:b/>
            </w:rPr>
          </w:pPr>
        </w:p>
      </w:tc>
    </w:tr>
  </w:tbl>
  <w:p w14:paraId="24E2B578" w14:textId="77777777" w:rsidR="00D55429" w:rsidRPr="001106EA" w:rsidRDefault="00D55429">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FA1345"/>
    <w:multiLevelType w:val="hybridMultilevel"/>
    <w:tmpl w:val="0636BA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27E443C"/>
    <w:multiLevelType w:val="hybridMultilevel"/>
    <w:tmpl w:val="D44AC0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07F44A1"/>
    <w:multiLevelType w:val="hybridMultilevel"/>
    <w:tmpl w:val="3C68C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F990414"/>
    <w:multiLevelType w:val="hybridMultilevel"/>
    <w:tmpl w:val="4FE43A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0B343B2"/>
    <w:multiLevelType w:val="hybridMultilevel"/>
    <w:tmpl w:val="56742792"/>
    <w:lvl w:ilvl="0" w:tplc="6908EA70">
      <w:start w:val="1"/>
      <w:numFmt w:val="decimal"/>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14" w15:restartNumberingAfterBreak="0">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B194963"/>
    <w:multiLevelType w:val="hybridMultilevel"/>
    <w:tmpl w:val="22463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5"/>
  </w:num>
  <w:num w:numId="4">
    <w:abstractNumId w:val="0"/>
  </w:num>
  <w:num w:numId="5">
    <w:abstractNumId w:val="9"/>
  </w:num>
  <w:num w:numId="6">
    <w:abstractNumId w:val="4"/>
  </w:num>
  <w:num w:numId="7">
    <w:abstractNumId w:val="7"/>
  </w:num>
  <w:num w:numId="8">
    <w:abstractNumId w:val="14"/>
  </w:num>
  <w:num w:numId="9">
    <w:abstractNumId w:val="10"/>
  </w:num>
  <w:num w:numId="10">
    <w:abstractNumId w:val="11"/>
  </w:num>
  <w:num w:numId="11">
    <w:abstractNumId w:val="12"/>
  </w:num>
  <w:num w:numId="12">
    <w:abstractNumId w:val="1"/>
  </w:num>
  <w:num w:numId="13">
    <w:abstractNumId w:val="6"/>
  </w:num>
  <w:num w:numId="14">
    <w:abstractNumId w:val="15"/>
  </w:num>
  <w:num w:numId="15">
    <w:abstractNumId w:val="13"/>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9F6"/>
    <w:rsid w:val="00001261"/>
    <w:rsid w:val="00006F73"/>
    <w:rsid w:val="00020D08"/>
    <w:rsid w:val="0002627D"/>
    <w:rsid w:val="00026846"/>
    <w:rsid w:val="0002759D"/>
    <w:rsid w:val="000301C6"/>
    <w:rsid w:val="00031240"/>
    <w:rsid w:val="00041B19"/>
    <w:rsid w:val="00042A63"/>
    <w:rsid w:val="0004618F"/>
    <w:rsid w:val="0005256C"/>
    <w:rsid w:val="00060F74"/>
    <w:rsid w:val="0006561A"/>
    <w:rsid w:val="00082543"/>
    <w:rsid w:val="00087AC8"/>
    <w:rsid w:val="00097988"/>
    <w:rsid w:val="000A65BC"/>
    <w:rsid w:val="000B235B"/>
    <w:rsid w:val="000B7F6F"/>
    <w:rsid w:val="000C10B7"/>
    <w:rsid w:val="000C5469"/>
    <w:rsid w:val="000D186F"/>
    <w:rsid w:val="0010688C"/>
    <w:rsid w:val="001106EA"/>
    <w:rsid w:val="00110BC3"/>
    <w:rsid w:val="001159DC"/>
    <w:rsid w:val="00116C1F"/>
    <w:rsid w:val="00116E1A"/>
    <w:rsid w:val="001247C3"/>
    <w:rsid w:val="00124BD9"/>
    <w:rsid w:val="00136AD8"/>
    <w:rsid w:val="0014038B"/>
    <w:rsid w:val="00140A57"/>
    <w:rsid w:val="00146C6D"/>
    <w:rsid w:val="0014736A"/>
    <w:rsid w:val="00162325"/>
    <w:rsid w:val="00164625"/>
    <w:rsid w:val="00164BFE"/>
    <w:rsid w:val="0018472D"/>
    <w:rsid w:val="00192A6D"/>
    <w:rsid w:val="00193AA8"/>
    <w:rsid w:val="00197A72"/>
    <w:rsid w:val="001A145C"/>
    <w:rsid w:val="001A6BD9"/>
    <w:rsid w:val="001C1C64"/>
    <w:rsid w:val="001C2D5C"/>
    <w:rsid w:val="001C40B1"/>
    <w:rsid w:val="001C7572"/>
    <w:rsid w:val="001E2FC8"/>
    <w:rsid w:val="001F667B"/>
    <w:rsid w:val="001F6A82"/>
    <w:rsid w:val="00216BC4"/>
    <w:rsid w:val="00223F64"/>
    <w:rsid w:val="00231B68"/>
    <w:rsid w:val="00242C75"/>
    <w:rsid w:val="00243617"/>
    <w:rsid w:val="00243A13"/>
    <w:rsid w:val="00245ACA"/>
    <w:rsid w:val="00246FAF"/>
    <w:rsid w:val="0028037C"/>
    <w:rsid w:val="00280A9C"/>
    <w:rsid w:val="002816CB"/>
    <w:rsid w:val="00295BA5"/>
    <w:rsid w:val="002A138B"/>
    <w:rsid w:val="002A16CE"/>
    <w:rsid w:val="002A1727"/>
    <w:rsid w:val="002A2EE7"/>
    <w:rsid w:val="002C2405"/>
    <w:rsid w:val="002E5A1A"/>
    <w:rsid w:val="002F4E95"/>
    <w:rsid w:val="00304E15"/>
    <w:rsid w:val="00320769"/>
    <w:rsid w:val="00322675"/>
    <w:rsid w:val="00333B7A"/>
    <w:rsid w:val="003512C9"/>
    <w:rsid w:val="0036006F"/>
    <w:rsid w:val="003A6218"/>
    <w:rsid w:val="003B1F42"/>
    <w:rsid w:val="003B6547"/>
    <w:rsid w:val="003B7A5E"/>
    <w:rsid w:val="003C0474"/>
    <w:rsid w:val="003C15F3"/>
    <w:rsid w:val="003D23E5"/>
    <w:rsid w:val="003F2426"/>
    <w:rsid w:val="003F48C2"/>
    <w:rsid w:val="0040139C"/>
    <w:rsid w:val="00412CB2"/>
    <w:rsid w:val="004211BB"/>
    <w:rsid w:val="00433746"/>
    <w:rsid w:val="00434C88"/>
    <w:rsid w:val="00435E69"/>
    <w:rsid w:val="0043730D"/>
    <w:rsid w:val="00444DD6"/>
    <w:rsid w:val="00445BDF"/>
    <w:rsid w:val="00447F6F"/>
    <w:rsid w:val="0045183E"/>
    <w:rsid w:val="0047538D"/>
    <w:rsid w:val="0048255A"/>
    <w:rsid w:val="00490F50"/>
    <w:rsid w:val="004970E4"/>
    <w:rsid w:val="004A4555"/>
    <w:rsid w:val="004A555E"/>
    <w:rsid w:val="004B08C4"/>
    <w:rsid w:val="004B532B"/>
    <w:rsid w:val="004B541F"/>
    <w:rsid w:val="004C4912"/>
    <w:rsid w:val="004C5A6B"/>
    <w:rsid w:val="004C6E57"/>
    <w:rsid w:val="004E557B"/>
    <w:rsid w:val="004E7007"/>
    <w:rsid w:val="00500949"/>
    <w:rsid w:val="005228CE"/>
    <w:rsid w:val="00524DA5"/>
    <w:rsid w:val="00526DBD"/>
    <w:rsid w:val="00543DF4"/>
    <w:rsid w:val="00544812"/>
    <w:rsid w:val="00553ADE"/>
    <w:rsid w:val="00560A41"/>
    <w:rsid w:val="0056120D"/>
    <w:rsid w:val="0056593F"/>
    <w:rsid w:val="00576423"/>
    <w:rsid w:val="00582CCB"/>
    <w:rsid w:val="00584D73"/>
    <w:rsid w:val="0059329D"/>
    <w:rsid w:val="005A2510"/>
    <w:rsid w:val="005B1BC6"/>
    <w:rsid w:val="005B6967"/>
    <w:rsid w:val="005B7D4E"/>
    <w:rsid w:val="005C094E"/>
    <w:rsid w:val="005C73EE"/>
    <w:rsid w:val="005D01A5"/>
    <w:rsid w:val="005D11C8"/>
    <w:rsid w:val="005D26CE"/>
    <w:rsid w:val="005E2798"/>
    <w:rsid w:val="005E661B"/>
    <w:rsid w:val="00600164"/>
    <w:rsid w:val="00605683"/>
    <w:rsid w:val="006248F2"/>
    <w:rsid w:val="00624DE5"/>
    <w:rsid w:val="00645087"/>
    <w:rsid w:val="00645497"/>
    <w:rsid w:val="00654ACD"/>
    <w:rsid w:val="00657396"/>
    <w:rsid w:val="00681338"/>
    <w:rsid w:val="00682003"/>
    <w:rsid w:val="00683662"/>
    <w:rsid w:val="00684B16"/>
    <w:rsid w:val="006A79BA"/>
    <w:rsid w:val="006C76CB"/>
    <w:rsid w:val="006E1E37"/>
    <w:rsid w:val="006E7483"/>
    <w:rsid w:val="006F5316"/>
    <w:rsid w:val="006F754E"/>
    <w:rsid w:val="00724F08"/>
    <w:rsid w:val="00730CD7"/>
    <w:rsid w:val="007377CF"/>
    <w:rsid w:val="007378E2"/>
    <w:rsid w:val="00742A15"/>
    <w:rsid w:val="007468D5"/>
    <w:rsid w:val="00767DA9"/>
    <w:rsid w:val="0077694E"/>
    <w:rsid w:val="00793961"/>
    <w:rsid w:val="00796A29"/>
    <w:rsid w:val="007A2D13"/>
    <w:rsid w:val="007D3257"/>
    <w:rsid w:val="007D68AF"/>
    <w:rsid w:val="007F1C1D"/>
    <w:rsid w:val="007F7D80"/>
    <w:rsid w:val="00807185"/>
    <w:rsid w:val="008202ED"/>
    <w:rsid w:val="0083166F"/>
    <w:rsid w:val="00836BC2"/>
    <w:rsid w:val="00852676"/>
    <w:rsid w:val="00856E29"/>
    <w:rsid w:val="00861757"/>
    <w:rsid w:val="00891412"/>
    <w:rsid w:val="008A0447"/>
    <w:rsid w:val="008A1DE1"/>
    <w:rsid w:val="008A3DA9"/>
    <w:rsid w:val="008B08C9"/>
    <w:rsid w:val="008E1561"/>
    <w:rsid w:val="008E3C3E"/>
    <w:rsid w:val="008E54E2"/>
    <w:rsid w:val="008F3B5A"/>
    <w:rsid w:val="009039FE"/>
    <w:rsid w:val="0091435C"/>
    <w:rsid w:val="00922B2E"/>
    <w:rsid w:val="00927BD1"/>
    <w:rsid w:val="0093480E"/>
    <w:rsid w:val="00950355"/>
    <w:rsid w:val="00952B06"/>
    <w:rsid w:val="00954BF1"/>
    <w:rsid w:val="00962B86"/>
    <w:rsid w:val="00974836"/>
    <w:rsid w:val="009943E1"/>
    <w:rsid w:val="009B22ED"/>
    <w:rsid w:val="009B2C0B"/>
    <w:rsid w:val="009C0313"/>
    <w:rsid w:val="009D07E2"/>
    <w:rsid w:val="009D49BE"/>
    <w:rsid w:val="009E0861"/>
    <w:rsid w:val="009E30F4"/>
    <w:rsid w:val="009E41F7"/>
    <w:rsid w:val="009E5307"/>
    <w:rsid w:val="009E704F"/>
    <w:rsid w:val="009F6E4A"/>
    <w:rsid w:val="00A364BA"/>
    <w:rsid w:val="00A5061A"/>
    <w:rsid w:val="00A5658F"/>
    <w:rsid w:val="00A67498"/>
    <w:rsid w:val="00A742D1"/>
    <w:rsid w:val="00A74475"/>
    <w:rsid w:val="00A87924"/>
    <w:rsid w:val="00A96933"/>
    <w:rsid w:val="00AA090B"/>
    <w:rsid w:val="00AB3E26"/>
    <w:rsid w:val="00AC333A"/>
    <w:rsid w:val="00AD25D5"/>
    <w:rsid w:val="00AF3B6B"/>
    <w:rsid w:val="00B068A1"/>
    <w:rsid w:val="00B263C5"/>
    <w:rsid w:val="00B52AFB"/>
    <w:rsid w:val="00B6097D"/>
    <w:rsid w:val="00B67355"/>
    <w:rsid w:val="00B7393F"/>
    <w:rsid w:val="00B761B1"/>
    <w:rsid w:val="00B9745A"/>
    <w:rsid w:val="00BB6EE3"/>
    <w:rsid w:val="00BC4882"/>
    <w:rsid w:val="00BC55D2"/>
    <w:rsid w:val="00BD06FC"/>
    <w:rsid w:val="00BD4705"/>
    <w:rsid w:val="00BD5B0E"/>
    <w:rsid w:val="00BD5DBE"/>
    <w:rsid w:val="00BF1384"/>
    <w:rsid w:val="00C0131C"/>
    <w:rsid w:val="00C0425F"/>
    <w:rsid w:val="00C056BD"/>
    <w:rsid w:val="00C30FD6"/>
    <w:rsid w:val="00C31FEE"/>
    <w:rsid w:val="00C36378"/>
    <w:rsid w:val="00C55FFC"/>
    <w:rsid w:val="00C75CE0"/>
    <w:rsid w:val="00CA7627"/>
    <w:rsid w:val="00CC68E1"/>
    <w:rsid w:val="00CD4339"/>
    <w:rsid w:val="00CE0F2E"/>
    <w:rsid w:val="00CE343C"/>
    <w:rsid w:val="00CE50F9"/>
    <w:rsid w:val="00CF11EE"/>
    <w:rsid w:val="00D02D93"/>
    <w:rsid w:val="00D05740"/>
    <w:rsid w:val="00D13875"/>
    <w:rsid w:val="00D15D07"/>
    <w:rsid w:val="00D160F2"/>
    <w:rsid w:val="00D32C2C"/>
    <w:rsid w:val="00D357E1"/>
    <w:rsid w:val="00D368A8"/>
    <w:rsid w:val="00D37CDC"/>
    <w:rsid w:val="00D45BDF"/>
    <w:rsid w:val="00D45E10"/>
    <w:rsid w:val="00D50D8F"/>
    <w:rsid w:val="00D51426"/>
    <w:rsid w:val="00D55429"/>
    <w:rsid w:val="00D65D0C"/>
    <w:rsid w:val="00D666D4"/>
    <w:rsid w:val="00D7239D"/>
    <w:rsid w:val="00D75FAE"/>
    <w:rsid w:val="00D77F63"/>
    <w:rsid w:val="00D9114A"/>
    <w:rsid w:val="00D93D10"/>
    <w:rsid w:val="00D96166"/>
    <w:rsid w:val="00DA11C0"/>
    <w:rsid w:val="00DC4A9C"/>
    <w:rsid w:val="00DF47E7"/>
    <w:rsid w:val="00DF6BC5"/>
    <w:rsid w:val="00DF6CA0"/>
    <w:rsid w:val="00E045D0"/>
    <w:rsid w:val="00E11DB1"/>
    <w:rsid w:val="00E145E1"/>
    <w:rsid w:val="00E26123"/>
    <w:rsid w:val="00E26DFC"/>
    <w:rsid w:val="00E34559"/>
    <w:rsid w:val="00E345D1"/>
    <w:rsid w:val="00E41481"/>
    <w:rsid w:val="00E416F8"/>
    <w:rsid w:val="00E45036"/>
    <w:rsid w:val="00E472AD"/>
    <w:rsid w:val="00E656C1"/>
    <w:rsid w:val="00E7538D"/>
    <w:rsid w:val="00E82F77"/>
    <w:rsid w:val="00E83683"/>
    <w:rsid w:val="00E8492D"/>
    <w:rsid w:val="00E93F81"/>
    <w:rsid w:val="00EA7E26"/>
    <w:rsid w:val="00EB7128"/>
    <w:rsid w:val="00EC6DDF"/>
    <w:rsid w:val="00EE29F6"/>
    <w:rsid w:val="00EF482C"/>
    <w:rsid w:val="00F011F6"/>
    <w:rsid w:val="00F02DF0"/>
    <w:rsid w:val="00F14384"/>
    <w:rsid w:val="00F3298A"/>
    <w:rsid w:val="00F32B83"/>
    <w:rsid w:val="00F4155E"/>
    <w:rsid w:val="00F43ECC"/>
    <w:rsid w:val="00F45049"/>
    <w:rsid w:val="00F60843"/>
    <w:rsid w:val="00FA177C"/>
    <w:rsid w:val="00FB3044"/>
    <w:rsid w:val="00FB59D6"/>
    <w:rsid w:val="00FB5C13"/>
    <w:rsid w:val="00FC1D9D"/>
    <w:rsid w:val="00FC1F32"/>
    <w:rsid w:val="00FD1849"/>
    <w:rsid w:val="00FD3150"/>
    <w:rsid w:val="00FD530D"/>
    <w:rsid w:val="00FF22F6"/>
    <w:rsid w:val="00FF60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93851A"/>
  <w15:docId w15:val="{C05CBA83-0314-4E17-A4C9-4E84278E5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16C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59"/>
    <w:rsid w:val="00EE2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basedOn w:val="Normal"/>
    <w:uiPriority w:val="34"/>
    <w:qFormat/>
    <w:rsid w:val="00524DA5"/>
    <w:pPr>
      <w:ind w:left="720"/>
      <w:contextualSpacing/>
    </w:pPr>
  </w:style>
  <w:style w:type="paragraph" w:styleId="Textonotapie">
    <w:name w:val="footnote text"/>
    <w:basedOn w:val="Normal"/>
    <w:link w:val="TextonotapieCar"/>
    <w:uiPriority w:val="99"/>
    <w:semiHidden/>
    <w:unhideWhenUsed/>
    <w:rsid w:val="009943E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943E1"/>
    <w:rPr>
      <w:sz w:val="20"/>
      <w:szCs w:val="20"/>
    </w:rPr>
  </w:style>
  <w:style w:type="character" w:styleId="Refdenotaalpie">
    <w:name w:val="footnote reference"/>
    <w:basedOn w:val="Fuentedeprrafopredeter"/>
    <w:uiPriority w:val="99"/>
    <w:semiHidden/>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 w:type="character" w:styleId="Textoennegrita">
    <w:name w:val="Strong"/>
    <w:uiPriority w:val="22"/>
    <w:qFormat/>
    <w:rsid w:val="00082543"/>
    <w:rPr>
      <w:b/>
      <w:bCs/>
    </w:rPr>
  </w:style>
  <w:style w:type="character" w:styleId="Refdecomentario">
    <w:name w:val="annotation reference"/>
    <w:basedOn w:val="Fuentedeprrafopredeter"/>
    <w:uiPriority w:val="99"/>
    <w:semiHidden/>
    <w:unhideWhenUsed/>
    <w:rsid w:val="00C056BD"/>
    <w:rPr>
      <w:sz w:val="16"/>
      <w:szCs w:val="16"/>
    </w:rPr>
  </w:style>
  <w:style w:type="paragraph" w:styleId="Textocomentario">
    <w:name w:val="annotation text"/>
    <w:basedOn w:val="Normal"/>
    <w:link w:val="TextocomentarioCar"/>
    <w:uiPriority w:val="99"/>
    <w:semiHidden/>
    <w:unhideWhenUsed/>
    <w:rsid w:val="00C056B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056BD"/>
    <w:rPr>
      <w:sz w:val="20"/>
      <w:szCs w:val="20"/>
    </w:rPr>
  </w:style>
  <w:style w:type="paragraph" w:styleId="Asuntodelcomentario">
    <w:name w:val="annotation subject"/>
    <w:basedOn w:val="Textocomentario"/>
    <w:next w:val="Textocomentario"/>
    <w:link w:val="AsuntodelcomentarioCar"/>
    <w:uiPriority w:val="99"/>
    <w:semiHidden/>
    <w:unhideWhenUsed/>
    <w:rsid w:val="00C056BD"/>
    <w:rPr>
      <w:b/>
      <w:bCs/>
    </w:rPr>
  </w:style>
  <w:style w:type="character" w:customStyle="1" w:styleId="AsuntodelcomentarioCar">
    <w:name w:val="Asunto del comentario Car"/>
    <w:basedOn w:val="TextocomentarioCar"/>
    <w:link w:val="Asuntodelcomentario"/>
    <w:uiPriority w:val="99"/>
    <w:semiHidden/>
    <w:rsid w:val="00C056B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7A5D5A-26A1-4F56-8D64-8984A9B99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1925</Words>
  <Characters>10593</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USER</cp:lastModifiedBy>
  <cp:revision>3</cp:revision>
  <cp:lastPrinted>2019-04-29T21:12:00Z</cp:lastPrinted>
  <dcterms:created xsi:type="dcterms:W3CDTF">2019-04-29T21:13:00Z</dcterms:created>
  <dcterms:modified xsi:type="dcterms:W3CDTF">2019-04-29T21:13:00Z</dcterms:modified>
</cp:coreProperties>
</file>